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02D49" w14:textId="6528F787" w:rsidR="00FA0F03" w:rsidRDefault="00FA0F03" w:rsidP="00FA0F03">
      <w:pPr>
        <w:spacing w:before="0" w:after="0"/>
        <w:jc w:val="center"/>
        <w:rPr>
          <w:b/>
          <w:bCs/>
        </w:rPr>
      </w:pPr>
      <w:r>
        <w:rPr>
          <w:b/>
          <w:bCs/>
        </w:rPr>
        <w:t>PHỤ LỤC II</w:t>
      </w:r>
    </w:p>
    <w:p w14:paraId="556AD023" w14:textId="77777777" w:rsidR="00FA0F03" w:rsidRDefault="0041382F" w:rsidP="00FA0F03">
      <w:pPr>
        <w:spacing w:before="0" w:after="0"/>
        <w:jc w:val="center"/>
        <w:rPr>
          <w:b/>
          <w:bCs/>
        </w:rPr>
      </w:pPr>
      <w:r w:rsidRPr="00D73424">
        <w:rPr>
          <w:b/>
          <w:bCs/>
        </w:rPr>
        <w:t>BẢNG TỔNG HỢP GÓP Ý NGHỊ ĐỊNH SỬA ĐỔI, BỔ SUNG MỘT SỐ ĐIỀU</w:t>
      </w:r>
      <w:r w:rsidR="00D73424">
        <w:rPr>
          <w:b/>
          <w:bCs/>
        </w:rPr>
        <w:t xml:space="preserve"> CỦA </w:t>
      </w:r>
    </w:p>
    <w:p w14:paraId="6F2F6D53" w14:textId="7883052F" w:rsidR="00CF771B" w:rsidRDefault="00D73424" w:rsidP="00FA0F03">
      <w:pPr>
        <w:spacing w:before="0" w:after="0"/>
        <w:jc w:val="center"/>
        <w:rPr>
          <w:b/>
          <w:bCs/>
        </w:rPr>
      </w:pPr>
      <w:r>
        <w:rPr>
          <w:b/>
          <w:bCs/>
        </w:rPr>
        <w:t xml:space="preserve">NGHỊ ĐỊNH SỐ </w:t>
      </w:r>
      <w:r w:rsidR="00C80AF2">
        <w:rPr>
          <w:b/>
          <w:bCs/>
        </w:rPr>
        <w:t>23/2024/NĐ-CP; NGHỊ ĐỊNH SỐ 115/2024/NĐ-CP</w:t>
      </w:r>
    </w:p>
    <w:p w14:paraId="3EC8C934" w14:textId="2159F95A" w:rsidR="00FA0F03" w:rsidRPr="002A144C" w:rsidRDefault="00FA0F03" w:rsidP="00FA0F03">
      <w:pPr>
        <w:spacing w:before="0" w:after="0"/>
        <w:jc w:val="center"/>
        <w:rPr>
          <w:i/>
          <w:iCs/>
        </w:rPr>
      </w:pPr>
      <w:r w:rsidRPr="002A144C">
        <w:rPr>
          <w:i/>
          <w:iCs/>
        </w:rPr>
        <w:t xml:space="preserve">(Kèm theo Tờ trình số 10776/TTr-BKHĐT ngày </w:t>
      </w:r>
      <w:r w:rsidR="002A144C" w:rsidRPr="002A144C">
        <w:rPr>
          <w:i/>
          <w:iCs/>
        </w:rPr>
        <w:t>27/12/2024 của Bộ Kế hoạch và Đầu tư)</w:t>
      </w:r>
    </w:p>
    <w:p w14:paraId="640CEFB5" w14:textId="77777777" w:rsidR="000B07BE" w:rsidRDefault="000B07BE" w:rsidP="00C64260">
      <w:pPr>
        <w:spacing w:before="0" w:after="0"/>
        <w:ind w:left="720"/>
        <w:rPr>
          <w:b/>
          <w:bCs/>
        </w:rPr>
      </w:pPr>
    </w:p>
    <w:p w14:paraId="79DB562D" w14:textId="39649DF7" w:rsidR="00213564" w:rsidRPr="000B07BE" w:rsidRDefault="00D73424" w:rsidP="00C64260">
      <w:pPr>
        <w:spacing w:before="0" w:after="0"/>
        <w:ind w:left="720"/>
        <w:rPr>
          <w:b/>
          <w:bCs/>
          <w:sz w:val="24"/>
          <w:szCs w:val="24"/>
        </w:rPr>
      </w:pPr>
      <w:r w:rsidRPr="000B07BE">
        <w:rPr>
          <w:b/>
          <w:bCs/>
          <w:sz w:val="24"/>
          <w:szCs w:val="24"/>
        </w:rPr>
        <w:t>- Các đơn vị thống nhất với dự thảo:</w:t>
      </w:r>
      <w:r w:rsidR="00D10BCB" w:rsidRPr="000B07BE">
        <w:rPr>
          <w:b/>
          <w:bCs/>
          <w:sz w:val="24"/>
          <w:szCs w:val="24"/>
        </w:rPr>
        <w:t xml:space="preserve"> </w:t>
      </w:r>
    </w:p>
    <w:p w14:paraId="263093CB" w14:textId="12F87BAB" w:rsidR="00213564" w:rsidRPr="000B07BE" w:rsidRDefault="00F243F6" w:rsidP="00C64260">
      <w:pPr>
        <w:spacing w:before="0" w:after="0"/>
        <w:ind w:left="720"/>
        <w:rPr>
          <w:sz w:val="24"/>
          <w:szCs w:val="24"/>
        </w:rPr>
      </w:pPr>
      <w:r w:rsidRPr="000B07BE">
        <w:rPr>
          <w:b/>
          <w:bCs/>
          <w:sz w:val="24"/>
          <w:szCs w:val="24"/>
        </w:rPr>
        <w:t xml:space="preserve">+ Các </w:t>
      </w:r>
      <w:r w:rsidR="00213564" w:rsidRPr="000B07BE">
        <w:rPr>
          <w:b/>
          <w:bCs/>
          <w:sz w:val="24"/>
          <w:szCs w:val="24"/>
        </w:rPr>
        <w:t>Bộ</w:t>
      </w:r>
      <w:r w:rsidR="00213564" w:rsidRPr="000B07BE">
        <w:rPr>
          <w:sz w:val="24"/>
          <w:szCs w:val="24"/>
        </w:rPr>
        <w:t>: Tài nguyên và Môi trường</w:t>
      </w:r>
      <w:r w:rsidR="00894F54" w:rsidRPr="000B07BE">
        <w:rPr>
          <w:sz w:val="24"/>
          <w:szCs w:val="24"/>
        </w:rPr>
        <w:t>; Nông nghiệp và Phát triển nông thôn; Bộ Quốc phòng</w:t>
      </w:r>
      <w:r w:rsidR="00324D7D" w:rsidRPr="000B07BE">
        <w:rPr>
          <w:sz w:val="24"/>
          <w:szCs w:val="24"/>
        </w:rPr>
        <w:t>; Công Thương; Giáo dục và Đào tạo</w:t>
      </w:r>
    </w:p>
    <w:p w14:paraId="478739F8" w14:textId="2037BABE" w:rsidR="00E672BA" w:rsidRPr="000B07BE" w:rsidRDefault="00E672BA" w:rsidP="00C64260">
      <w:pPr>
        <w:spacing w:before="0" w:after="0"/>
        <w:ind w:left="720"/>
        <w:rPr>
          <w:sz w:val="24"/>
          <w:szCs w:val="24"/>
        </w:rPr>
      </w:pPr>
      <w:r w:rsidRPr="000B07BE">
        <w:rPr>
          <w:b/>
          <w:bCs/>
          <w:sz w:val="24"/>
          <w:szCs w:val="24"/>
        </w:rPr>
        <w:t>+ Các đơn vị thuộc Bộ</w:t>
      </w:r>
      <w:r w:rsidRPr="000B07BE">
        <w:rPr>
          <w:sz w:val="24"/>
          <w:szCs w:val="24"/>
        </w:rPr>
        <w:t>: Cục Kinh tế hợp tác</w:t>
      </w:r>
      <w:r w:rsidR="00324D7D" w:rsidRPr="000B07BE">
        <w:rPr>
          <w:sz w:val="24"/>
          <w:szCs w:val="24"/>
        </w:rPr>
        <w:t>; Tổng cục Thống kê</w:t>
      </w:r>
    </w:p>
    <w:p w14:paraId="1126B989" w14:textId="401022BA" w:rsidR="00864E20" w:rsidRPr="000B07BE" w:rsidRDefault="00F243F6" w:rsidP="00C64260">
      <w:pPr>
        <w:spacing w:before="0" w:after="0"/>
        <w:ind w:left="720"/>
        <w:rPr>
          <w:sz w:val="24"/>
          <w:szCs w:val="24"/>
        </w:rPr>
      </w:pPr>
      <w:r w:rsidRPr="000B07BE">
        <w:rPr>
          <w:b/>
          <w:bCs/>
          <w:sz w:val="24"/>
          <w:szCs w:val="24"/>
        </w:rPr>
        <w:t xml:space="preserve">+ </w:t>
      </w:r>
      <w:r w:rsidR="00D10BCB" w:rsidRPr="000B07BE">
        <w:rPr>
          <w:b/>
          <w:bCs/>
          <w:sz w:val="24"/>
          <w:szCs w:val="24"/>
        </w:rPr>
        <w:t>Ủy ban nhân dân các tỉnh</w:t>
      </w:r>
      <w:r w:rsidR="00D10BCB" w:rsidRPr="000B07BE">
        <w:rPr>
          <w:sz w:val="24"/>
          <w:szCs w:val="24"/>
        </w:rPr>
        <w:t>:</w:t>
      </w:r>
      <w:r w:rsidR="00D73424" w:rsidRPr="000B07BE">
        <w:rPr>
          <w:sz w:val="24"/>
          <w:szCs w:val="24"/>
        </w:rPr>
        <w:t xml:space="preserve"> </w:t>
      </w:r>
      <w:r w:rsidR="000F2A67" w:rsidRPr="000B07BE">
        <w:rPr>
          <w:sz w:val="24"/>
          <w:szCs w:val="24"/>
        </w:rPr>
        <w:t>Bình Phước</w:t>
      </w:r>
      <w:r w:rsidR="00D10BCB" w:rsidRPr="000B07BE">
        <w:rPr>
          <w:sz w:val="24"/>
          <w:szCs w:val="24"/>
        </w:rPr>
        <w:t>; Vinh Long</w:t>
      </w:r>
      <w:r w:rsidR="000F2A67" w:rsidRPr="000B07BE">
        <w:rPr>
          <w:sz w:val="24"/>
          <w:szCs w:val="24"/>
        </w:rPr>
        <w:t>;</w:t>
      </w:r>
      <w:r w:rsidR="00D10BCB" w:rsidRPr="000B07BE">
        <w:rPr>
          <w:sz w:val="24"/>
          <w:szCs w:val="24"/>
        </w:rPr>
        <w:t xml:space="preserve"> </w:t>
      </w:r>
      <w:r w:rsidR="00864E20" w:rsidRPr="000B07BE">
        <w:rPr>
          <w:sz w:val="24"/>
          <w:szCs w:val="24"/>
        </w:rPr>
        <w:t>Hòa Bình;</w:t>
      </w:r>
      <w:r w:rsidR="00E672BA" w:rsidRPr="000B07BE">
        <w:rPr>
          <w:sz w:val="24"/>
          <w:szCs w:val="24"/>
        </w:rPr>
        <w:t xml:space="preserve"> Đồng Nai</w:t>
      </w:r>
      <w:r w:rsidR="00894F54" w:rsidRPr="000B07BE">
        <w:rPr>
          <w:sz w:val="24"/>
          <w:szCs w:val="24"/>
        </w:rPr>
        <w:t>; Thừa Thiên Huế; Lạng Sơn; Ninh Thuận</w:t>
      </w:r>
      <w:r w:rsidR="00324D7D" w:rsidRPr="000B07BE">
        <w:rPr>
          <w:sz w:val="24"/>
          <w:szCs w:val="24"/>
        </w:rPr>
        <w:t>; Bà Rịa- Vũng Tàu; Hòa Bình</w:t>
      </w:r>
      <w:r w:rsidR="00B622BB" w:rsidRPr="000B07BE">
        <w:rPr>
          <w:sz w:val="24"/>
          <w:szCs w:val="24"/>
        </w:rPr>
        <w:t xml:space="preserve">; Vĩnh Long; </w:t>
      </w:r>
    </w:p>
    <w:p w14:paraId="7A9EEA47" w14:textId="4C0148B3" w:rsidR="00864E20" w:rsidRPr="000B07BE" w:rsidRDefault="00F243F6" w:rsidP="00C64260">
      <w:pPr>
        <w:spacing w:before="0" w:after="0"/>
        <w:ind w:left="720"/>
        <w:rPr>
          <w:sz w:val="24"/>
          <w:szCs w:val="24"/>
        </w:rPr>
      </w:pPr>
      <w:r w:rsidRPr="000B07BE">
        <w:rPr>
          <w:b/>
          <w:bCs/>
          <w:sz w:val="24"/>
          <w:szCs w:val="24"/>
        </w:rPr>
        <w:t xml:space="preserve">+ </w:t>
      </w:r>
      <w:r w:rsidR="00D10BCB" w:rsidRPr="000B07BE">
        <w:rPr>
          <w:b/>
          <w:bCs/>
          <w:sz w:val="24"/>
          <w:szCs w:val="24"/>
        </w:rPr>
        <w:t>Sở Kế hoạch và Đầu tư các tỉnh</w:t>
      </w:r>
      <w:r w:rsidR="00D10BCB" w:rsidRPr="000B07BE">
        <w:rPr>
          <w:sz w:val="24"/>
          <w:szCs w:val="24"/>
        </w:rPr>
        <w:t>: Bình Thuận; Tiền Giang</w:t>
      </w:r>
      <w:r w:rsidR="00456095" w:rsidRPr="000B07BE">
        <w:rPr>
          <w:sz w:val="24"/>
          <w:szCs w:val="24"/>
        </w:rPr>
        <w:t>; Trà Vinh</w:t>
      </w:r>
      <w:r w:rsidR="00E672BA" w:rsidRPr="000B07BE">
        <w:rPr>
          <w:sz w:val="24"/>
          <w:szCs w:val="24"/>
        </w:rPr>
        <w:t>; Hà Nam</w:t>
      </w:r>
      <w:r w:rsidR="00894F54" w:rsidRPr="000B07BE">
        <w:rPr>
          <w:sz w:val="24"/>
          <w:szCs w:val="24"/>
        </w:rPr>
        <w:t>; Hậu Giang</w:t>
      </w:r>
      <w:r w:rsidR="00324D7D" w:rsidRPr="000B07BE">
        <w:rPr>
          <w:sz w:val="24"/>
          <w:szCs w:val="24"/>
        </w:rPr>
        <w:t>; KonTum</w:t>
      </w:r>
    </w:p>
    <w:p w14:paraId="6C876755" w14:textId="27FE1FA7" w:rsidR="00D73424" w:rsidRPr="000B07BE" w:rsidRDefault="00F243F6" w:rsidP="00C64260">
      <w:pPr>
        <w:spacing w:before="0" w:after="0"/>
        <w:ind w:left="720"/>
        <w:rPr>
          <w:sz w:val="24"/>
          <w:szCs w:val="24"/>
        </w:rPr>
      </w:pPr>
      <w:r w:rsidRPr="000B07BE">
        <w:rPr>
          <w:sz w:val="24"/>
          <w:szCs w:val="24"/>
        </w:rPr>
        <w:t xml:space="preserve">+ </w:t>
      </w:r>
      <w:r w:rsidR="00864E20" w:rsidRPr="000B07BE">
        <w:rPr>
          <w:sz w:val="24"/>
          <w:szCs w:val="24"/>
        </w:rPr>
        <w:t>T</w:t>
      </w:r>
      <w:r w:rsidR="000F2A67" w:rsidRPr="000B07BE">
        <w:rPr>
          <w:sz w:val="24"/>
          <w:szCs w:val="24"/>
        </w:rPr>
        <w:t>ổng Công ty Hàng không Việt Nam;</w:t>
      </w:r>
      <w:r w:rsidR="00864E20" w:rsidRPr="000B07BE">
        <w:rPr>
          <w:sz w:val="24"/>
          <w:szCs w:val="24"/>
        </w:rPr>
        <w:t xml:space="preserve"> Tập đoàn Xăng dàu Việt Nam</w:t>
      </w:r>
      <w:r w:rsidR="00213564" w:rsidRPr="000B07BE">
        <w:rPr>
          <w:sz w:val="24"/>
          <w:szCs w:val="24"/>
        </w:rPr>
        <w:t xml:space="preserve">; Tập đoàn Điện lực Việt Nam; Đài Truyền hình Việt Nam; </w:t>
      </w:r>
      <w:r w:rsidR="004C6CD9" w:rsidRPr="000B07BE">
        <w:rPr>
          <w:sz w:val="24"/>
          <w:szCs w:val="24"/>
        </w:rPr>
        <w:t>Tập đoàn Bưu chính Viễn Thông Việt Nam.</w:t>
      </w:r>
    </w:p>
    <w:tbl>
      <w:tblPr>
        <w:tblpPr w:leftFromText="180" w:rightFromText="180" w:vertAnchor="text" w:tblpY="1"/>
        <w:tblOverlap w:val="neve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877"/>
        <w:gridCol w:w="8647"/>
        <w:gridCol w:w="1842"/>
        <w:gridCol w:w="2694"/>
      </w:tblGrid>
      <w:tr w:rsidR="00FD0967" w:rsidRPr="00C64260" w14:paraId="12BFF6AB" w14:textId="77777777" w:rsidTr="00BB2F5C">
        <w:trPr>
          <w:trHeight w:val="699"/>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F8ECD" w14:textId="77777777" w:rsidR="0041382F" w:rsidRPr="00C64260" w:rsidRDefault="0041382F" w:rsidP="00C64260">
            <w:pPr>
              <w:spacing w:before="0" w:after="0"/>
              <w:jc w:val="center"/>
              <w:rPr>
                <w:rFonts w:eastAsia="Times New Roman" w:cs="Times New Roman"/>
                <w:b/>
                <w:bCs/>
                <w:color w:val="000000"/>
                <w:kern w:val="0"/>
                <w:sz w:val="24"/>
                <w:szCs w:val="24"/>
                <w14:ligatures w14:val="none"/>
              </w:rPr>
            </w:pPr>
            <w:r w:rsidRPr="00C64260">
              <w:rPr>
                <w:rFonts w:eastAsia="Times New Roman" w:cs="Times New Roman"/>
                <w:b/>
                <w:bCs/>
                <w:color w:val="000000"/>
                <w:kern w:val="0"/>
                <w:sz w:val="24"/>
                <w:szCs w:val="24"/>
                <w14:ligatures w14:val="none"/>
              </w:rPr>
              <w:t>STT</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62F22" w14:textId="77777777" w:rsidR="0041382F" w:rsidRPr="00C64260" w:rsidRDefault="0041382F" w:rsidP="008C4682">
            <w:pPr>
              <w:spacing w:before="0" w:after="0"/>
              <w:jc w:val="center"/>
              <w:rPr>
                <w:rFonts w:eastAsia="Times New Roman" w:cs="Times New Roman"/>
                <w:b/>
                <w:bCs/>
                <w:color w:val="000000"/>
                <w:kern w:val="0"/>
                <w:sz w:val="24"/>
                <w:szCs w:val="24"/>
                <w14:ligatures w14:val="none"/>
              </w:rPr>
            </w:pPr>
            <w:r w:rsidRPr="00C64260">
              <w:rPr>
                <w:rFonts w:eastAsia="Times New Roman" w:cs="Times New Roman"/>
                <w:b/>
                <w:bCs/>
                <w:color w:val="000000"/>
                <w:kern w:val="0"/>
                <w:sz w:val="24"/>
                <w:szCs w:val="24"/>
                <w14:ligatures w14:val="none"/>
              </w:rPr>
              <w:t>Điều, khoản, điểm</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AEAF7" w14:textId="77777777" w:rsidR="0041382F" w:rsidRPr="00C64260" w:rsidRDefault="0041382F" w:rsidP="00C64260">
            <w:pPr>
              <w:spacing w:before="0" w:after="0"/>
              <w:jc w:val="center"/>
              <w:rPr>
                <w:rFonts w:eastAsia="Times New Roman" w:cs="Times New Roman"/>
                <w:b/>
                <w:bCs/>
                <w:color w:val="000000"/>
                <w:kern w:val="0"/>
                <w:sz w:val="24"/>
                <w:szCs w:val="24"/>
                <w14:ligatures w14:val="none"/>
              </w:rPr>
            </w:pPr>
            <w:r w:rsidRPr="00C64260">
              <w:rPr>
                <w:rFonts w:eastAsia="Times New Roman" w:cs="Times New Roman"/>
                <w:b/>
                <w:bCs/>
                <w:color w:val="000000"/>
                <w:kern w:val="0"/>
                <w:sz w:val="24"/>
                <w:szCs w:val="24"/>
                <w14:ligatures w14:val="none"/>
              </w:rPr>
              <w:t>Nội dung góp ý</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4E7BC" w14:textId="77777777" w:rsidR="0041382F" w:rsidRPr="00C64260" w:rsidRDefault="0041382F" w:rsidP="00C64260">
            <w:pPr>
              <w:spacing w:before="0" w:after="0"/>
              <w:jc w:val="center"/>
              <w:rPr>
                <w:rFonts w:eastAsia="Times New Roman" w:cs="Times New Roman"/>
                <w:b/>
                <w:bCs/>
                <w:color w:val="000000"/>
                <w:kern w:val="0"/>
                <w:sz w:val="24"/>
                <w:szCs w:val="24"/>
                <w14:ligatures w14:val="none"/>
              </w:rPr>
            </w:pPr>
            <w:r w:rsidRPr="00C64260">
              <w:rPr>
                <w:rFonts w:eastAsia="Times New Roman" w:cs="Times New Roman"/>
                <w:b/>
                <w:bCs/>
                <w:color w:val="000000"/>
                <w:kern w:val="0"/>
                <w:sz w:val="24"/>
                <w:szCs w:val="24"/>
                <w14:ligatures w14:val="none"/>
              </w:rPr>
              <w:t>Tên cơ quan, đơn vị góp ý</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B079D" w14:textId="77777777" w:rsidR="0041382F" w:rsidRPr="00C64260" w:rsidRDefault="0041382F" w:rsidP="00C64260">
            <w:pPr>
              <w:spacing w:before="0" w:after="0"/>
              <w:jc w:val="center"/>
              <w:rPr>
                <w:rFonts w:eastAsia="Times New Roman" w:cs="Times New Roman"/>
                <w:b/>
                <w:bCs/>
                <w:color w:val="000000"/>
                <w:kern w:val="0"/>
                <w:sz w:val="24"/>
                <w:szCs w:val="24"/>
                <w14:ligatures w14:val="none"/>
              </w:rPr>
            </w:pPr>
            <w:r w:rsidRPr="00C64260">
              <w:rPr>
                <w:rFonts w:eastAsia="Times New Roman" w:cs="Times New Roman"/>
                <w:b/>
                <w:bCs/>
                <w:color w:val="000000"/>
                <w:kern w:val="0"/>
                <w:sz w:val="24"/>
                <w:szCs w:val="24"/>
                <w14:ligatures w14:val="none"/>
              </w:rPr>
              <w:t>Giải trình/Tiếp thu</w:t>
            </w:r>
          </w:p>
        </w:tc>
      </w:tr>
      <w:tr w:rsidR="00A25F23" w:rsidRPr="00C64260" w14:paraId="60248582" w14:textId="77777777" w:rsidTr="000B07BE">
        <w:trPr>
          <w:trHeight w:val="427"/>
        </w:trPr>
        <w:tc>
          <w:tcPr>
            <w:tcW w:w="15730" w:type="dxa"/>
            <w:gridSpan w:val="5"/>
            <w:tcBorders>
              <w:top w:val="single" w:sz="4" w:space="0" w:color="auto"/>
            </w:tcBorders>
            <w:shd w:val="clear" w:color="auto" w:fill="auto"/>
            <w:noWrap/>
            <w:vAlign w:val="center"/>
            <w:hideMark/>
          </w:tcPr>
          <w:p w14:paraId="7CE45F2F" w14:textId="3726128B" w:rsidR="00A25F23" w:rsidRPr="00C64260" w:rsidRDefault="00A25F23" w:rsidP="008C4682">
            <w:pPr>
              <w:spacing w:before="0" w:after="0"/>
              <w:rPr>
                <w:rFonts w:eastAsia="Times New Roman" w:cs="Times New Roman"/>
                <w:b/>
                <w:bCs/>
                <w:color w:val="000000"/>
                <w:kern w:val="0"/>
                <w:sz w:val="24"/>
                <w:szCs w:val="24"/>
                <w14:ligatures w14:val="none"/>
              </w:rPr>
            </w:pPr>
            <w:r w:rsidRPr="00C64260">
              <w:rPr>
                <w:rFonts w:eastAsia="Times New Roman" w:cs="Times New Roman"/>
                <w:b/>
                <w:bCs/>
                <w:color w:val="000000"/>
                <w:kern w:val="0"/>
                <w:sz w:val="24"/>
                <w:szCs w:val="24"/>
                <w14:ligatures w14:val="none"/>
              </w:rPr>
              <w:t>I. Các vấn đề chung</w:t>
            </w:r>
          </w:p>
        </w:tc>
      </w:tr>
      <w:tr w:rsidR="00B622BB" w:rsidRPr="00C64260" w14:paraId="07115B38" w14:textId="77777777" w:rsidTr="00BB2F5C">
        <w:trPr>
          <w:trHeight w:val="3070"/>
        </w:trPr>
        <w:tc>
          <w:tcPr>
            <w:tcW w:w="670" w:type="dxa"/>
            <w:shd w:val="clear" w:color="auto" w:fill="auto"/>
            <w:noWrap/>
            <w:vAlign w:val="center"/>
            <w:hideMark/>
          </w:tcPr>
          <w:p w14:paraId="53DA380E" w14:textId="77777777"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 </w:t>
            </w:r>
          </w:p>
          <w:p w14:paraId="7422BABE" w14:textId="75A54F31"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 </w:t>
            </w:r>
          </w:p>
        </w:tc>
        <w:tc>
          <w:tcPr>
            <w:tcW w:w="1877" w:type="dxa"/>
            <w:vMerge w:val="restart"/>
            <w:shd w:val="clear" w:color="auto" w:fill="auto"/>
            <w:vAlign w:val="center"/>
            <w:hideMark/>
          </w:tcPr>
          <w:p w14:paraId="73630827" w14:textId="0E979A56" w:rsidR="00B622BB" w:rsidRPr="00C64260" w:rsidRDefault="00B622BB" w:rsidP="00F54509">
            <w:pPr>
              <w:spacing w:before="0" w:after="0"/>
              <w:jc w:val="center"/>
              <w:rPr>
                <w:rFonts w:eastAsia="Times New Roman" w:cs="Times New Roman"/>
                <w:b/>
                <w:bCs/>
                <w:color w:val="000000"/>
                <w:kern w:val="0"/>
                <w:sz w:val="24"/>
                <w:szCs w:val="24"/>
                <w14:ligatures w14:val="none"/>
              </w:rPr>
            </w:pPr>
            <w:r w:rsidRPr="00C64260">
              <w:rPr>
                <w:rFonts w:eastAsia="Times New Roman" w:cs="Times New Roman"/>
                <w:b/>
                <w:bCs/>
                <w:color w:val="000000"/>
                <w:kern w:val="0"/>
                <w:sz w:val="24"/>
                <w:szCs w:val="24"/>
                <w14:ligatures w14:val="none"/>
              </w:rPr>
              <w:t>Thể thức, bố cục văn bản</w:t>
            </w:r>
          </w:p>
        </w:tc>
        <w:tc>
          <w:tcPr>
            <w:tcW w:w="8647" w:type="dxa"/>
            <w:shd w:val="clear" w:color="auto" w:fill="auto"/>
            <w:vAlign w:val="center"/>
          </w:tcPr>
          <w:p w14:paraId="393CA732" w14:textId="4DF43EC0" w:rsidR="00B622BB" w:rsidRPr="00657C48" w:rsidRDefault="00B622BB" w:rsidP="00C64260">
            <w:pPr>
              <w:spacing w:before="0" w:after="0"/>
              <w:rPr>
                <w:rFonts w:cs="Times New Roman"/>
                <w:kern w:val="0"/>
                <w:sz w:val="24"/>
                <w:szCs w:val="24"/>
              </w:rPr>
            </w:pPr>
            <w:r w:rsidRPr="00C64260">
              <w:rPr>
                <w:rFonts w:cs="Times New Roman"/>
                <w:kern w:val="0"/>
                <w:sz w:val="24"/>
                <w:szCs w:val="24"/>
              </w:rPr>
              <w:t>Đề nghị rà soát các điều khoản của Luật Đấu thầu (được sửa đổi, bổ sung năm 2024) mà Dự thảo viện dẫn tại các Điều 8a và Điều 8b sẽ bổ sung vào Nghị định số 23/2024/NĐ-CP ngày 27/02/2024; Điều 9a và Điều 9b sẽ bổ sung vào Nghị định số 115/2024/NĐ-CP ngày 16/9/2024 cho phù hợp.</w:t>
            </w:r>
          </w:p>
        </w:tc>
        <w:tc>
          <w:tcPr>
            <w:tcW w:w="1842" w:type="dxa"/>
            <w:shd w:val="clear" w:color="auto" w:fill="auto"/>
            <w:vAlign w:val="center"/>
          </w:tcPr>
          <w:p w14:paraId="66E6F9B6" w14:textId="42C06EB9"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Sở Kế hoạch và Đầu tư tỉnh Phú Yên</w:t>
            </w:r>
          </w:p>
        </w:tc>
        <w:tc>
          <w:tcPr>
            <w:tcW w:w="2694" w:type="dxa"/>
            <w:shd w:val="clear" w:color="auto" w:fill="auto"/>
            <w:vAlign w:val="center"/>
            <w:hideMark/>
          </w:tcPr>
          <w:p w14:paraId="46069F12" w14:textId="18DF0C52" w:rsidR="00B622BB" w:rsidRPr="00F54509"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b/>
                <w:bCs/>
                <w:color w:val="000000"/>
                <w:kern w:val="0"/>
                <w:sz w:val="24"/>
                <w:szCs w:val="24"/>
                <w14:ligatures w14:val="none"/>
              </w:rPr>
              <w:t> </w:t>
            </w:r>
            <w:r w:rsidR="00471BFD" w:rsidRPr="00C64260">
              <w:rPr>
                <w:rFonts w:eastAsia="Times New Roman" w:cs="Times New Roman"/>
                <w:color w:val="000000"/>
                <w:kern w:val="0"/>
                <w:sz w:val="24"/>
                <w:szCs w:val="24"/>
                <w14:ligatures w14:val="none"/>
              </w:rPr>
              <w:t>Tiếp thu, Bộ KH&amp;ĐT đã hoàn thiện tại dự thảo Nghị định.</w:t>
            </w:r>
          </w:p>
        </w:tc>
      </w:tr>
      <w:tr w:rsidR="00B622BB" w:rsidRPr="00C64260" w14:paraId="582E587A" w14:textId="77777777" w:rsidTr="00BB2F5C">
        <w:trPr>
          <w:trHeight w:val="3919"/>
        </w:trPr>
        <w:tc>
          <w:tcPr>
            <w:tcW w:w="670" w:type="dxa"/>
            <w:shd w:val="clear" w:color="auto" w:fill="auto"/>
            <w:noWrap/>
            <w:vAlign w:val="center"/>
          </w:tcPr>
          <w:p w14:paraId="788FAF5C" w14:textId="77777777" w:rsidR="00B622BB" w:rsidRPr="00C64260" w:rsidRDefault="00B622BB" w:rsidP="00C64260">
            <w:pPr>
              <w:spacing w:before="0" w:after="0"/>
              <w:rPr>
                <w:rFonts w:eastAsia="Times New Roman" w:cs="Times New Roman"/>
                <w:color w:val="000000"/>
                <w:kern w:val="0"/>
                <w:sz w:val="24"/>
                <w:szCs w:val="24"/>
                <w14:ligatures w14:val="none"/>
              </w:rPr>
            </w:pPr>
          </w:p>
        </w:tc>
        <w:tc>
          <w:tcPr>
            <w:tcW w:w="1877" w:type="dxa"/>
            <w:vMerge/>
            <w:shd w:val="clear" w:color="auto" w:fill="auto"/>
            <w:vAlign w:val="center"/>
          </w:tcPr>
          <w:p w14:paraId="3B475D39" w14:textId="14093C05" w:rsidR="00B622BB" w:rsidRPr="00C64260" w:rsidRDefault="00B622BB" w:rsidP="008C4682">
            <w:pPr>
              <w:spacing w:before="0" w:after="0"/>
              <w:jc w:val="center"/>
              <w:rPr>
                <w:rFonts w:eastAsia="Times New Roman" w:cs="Times New Roman"/>
                <w:b/>
                <w:bCs/>
                <w:color w:val="000000"/>
                <w:kern w:val="0"/>
                <w:sz w:val="24"/>
                <w:szCs w:val="24"/>
                <w14:ligatures w14:val="none"/>
              </w:rPr>
            </w:pPr>
          </w:p>
        </w:tc>
        <w:tc>
          <w:tcPr>
            <w:tcW w:w="8647" w:type="dxa"/>
            <w:shd w:val="clear" w:color="auto" w:fill="auto"/>
            <w:vAlign w:val="center"/>
          </w:tcPr>
          <w:p w14:paraId="0EE89A5A" w14:textId="78E29B8C" w:rsidR="00471BFD" w:rsidRPr="00C64260" w:rsidRDefault="00F54509" w:rsidP="00C64260">
            <w:pPr>
              <w:spacing w:before="0" w:after="0"/>
              <w:rPr>
                <w:rFonts w:cs="Times New Roman"/>
                <w:sz w:val="24"/>
                <w:szCs w:val="24"/>
              </w:rPr>
            </w:pPr>
            <w:r>
              <w:rPr>
                <w:rFonts w:cs="Times New Roman"/>
                <w:sz w:val="24"/>
                <w:szCs w:val="24"/>
              </w:rPr>
              <w:t>B</w:t>
            </w:r>
            <w:r w:rsidR="00B622BB" w:rsidRPr="00C64260">
              <w:rPr>
                <w:rFonts w:cs="Times New Roman"/>
                <w:sz w:val="24"/>
                <w:szCs w:val="24"/>
              </w:rPr>
              <w:t>ộ Tư pháp đề nghị cơ quan chủ trì soạn thảo tuân thủ đúng thủ tục, trình tự soạn thảo văn bản theo quy định của Luật Ban hành văn bản quy phạm pháp luật và Nghị định số 34/2016/NĐCP</w:t>
            </w:r>
            <w:r w:rsidR="00471BFD" w:rsidRPr="00C64260">
              <w:rPr>
                <w:rFonts w:cs="Times New Roman"/>
                <w:sz w:val="24"/>
                <w:szCs w:val="24"/>
              </w:rPr>
              <w:t xml:space="preserve">, </w:t>
            </w:r>
            <w:r w:rsidR="00B622BB" w:rsidRPr="00C64260">
              <w:rPr>
                <w:rFonts w:cs="Times New Roman"/>
                <w:sz w:val="24"/>
                <w:szCs w:val="24"/>
              </w:rPr>
              <w:t xml:space="preserve">Nghị định số 154/2020/NĐ-CP và Nghị định số 59/2024/NĐ-CP); cần lấy ý kiến rộng rãi đối tượng chịu sự tác động của văn bản, chuyên gia, nhà khoa học và người làm thực tiễn (và phải tiếp thu, giải trình đầy đủ tất cả các ý kiến tham gia) để tiếp tục hoàn thiện dự thảo Nghị định (cũng như các tài liệu kèm theo) và gửi Bộ Tư pháp thẩm định trước khi trình Chính phủ. </w:t>
            </w:r>
          </w:p>
          <w:p w14:paraId="2B7F9E5B" w14:textId="77777777" w:rsidR="00471BFD" w:rsidRPr="00C64260" w:rsidRDefault="00471BFD" w:rsidP="00C64260">
            <w:pPr>
              <w:spacing w:before="0" w:after="0"/>
              <w:rPr>
                <w:rFonts w:cs="Times New Roman"/>
                <w:sz w:val="24"/>
                <w:szCs w:val="24"/>
              </w:rPr>
            </w:pPr>
          </w:p>
          <w:p w14:paraId="3BD036D6" w14:textId="0C171846" w:rsidR="00B622BB" w:rsidRPr="00C64260" w:rsidRDefault="00B622BB" w:rsidP="00657C48">
            <w:pPr>
              <w:spacing w:before="0" w:after="0"/>
              <w:rPr>
                <w:rFonts w:cs="Times New Roman"/>
                <w:kern w:val="0"/>
                <w:sz w:val="24"/>
                <w:szCs w:val="24"/>
              </w:rPr>
            </w:pPr>
            <w:r w:rsidRPr="00C64260">
              <w:rPr>
                <w:rFonts w:cs="Times New Roman"/>
                <w:sz w:val="24"/>
                <w:szCs w:val="24"/>
              </w:rPr>
              <w:t>3.2. Đề nghị cơ quan chủ trì soạn thảo rà soát, chỉnh lý về thể thức, kỹ thuật trình bày văn bản đảm bảo tuân thủ quy định của Điều 8 Luật Ban hành văn bản quy phạm pháp luật và Chương 4 V Nghị định số 34/2016/NĐ-CP (sửa đổi, bổ sung tại Nghị định số 154/2020/NĐ-CP và Nghị định số 59/2024/NĐ-CP), hoàn thiện hồ sơ dự thảo Nghị định theo quy định tại khoản 2 Điều 92 Luật Ban hành văn bản quy phạm pháp luật và khoản 16 Điều 1 Nghị định số 59/2024/NĐ-CP</w:t>
            </w:r>
            <w:r w:rsidR="00657C48">
              <w:rPr>
                <w:rFonts w:cs="Times New Roman"/>
                <w:sz w:val="24"/>
                <w:szCs w:val="24"/>
              </w:rPr>
              <w:t>.</w:t>
            </w:r>
          </w:p>
        </w:tc>
        <w:tc>
          <w:tcPr>
            <w:tcW w:w="1842" w:type="dxa"/>
            <w:shd w:val="clear" w:color="auto" w:fill="auto"/>
            <w:vAlign w:val="center"/>
          </w:tcPr>
          <w:p w14:paraId="3DD4957F" w14:textId="16B4647C"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Bộ Tư pháp</w:t>
            </w:r>
          </w:p>
        </w:tc>
        <w:tc>
          <w:tcPr>
            <w:tcW w:w="2694" w:type="dxa"/>
            <w:shd w:val="clear" w:color="auto" w:fill="auto"/>
            <w:vAlign w:val="center"/>
          </w:tcPr>
          <w:p w14:paraId="1F77F63E" w14:textId="57DA4196" w:rsidR="00B622BB" w:rsidRPr="00C64260" w:rsidRDefault="00471BFD" w:rsidP="00C64260">
            <w:pPr>
              <w:spacing w:before="0" w:after="0"/>
              <w:rPr>
                <w:rFonts w:eastAsia="Times New Roman" w:cs="Times New Roman"/>
                <w:b/>
                <w:bCs/>
                <w:color w:val="000000"/>
                <w:kern w:val="0"/>
                <w:sz w:val="24"/>
                <w:szCs w:val="24"/>
                <w14:ligatures w14:val="none"/>
              </w:rPr>
            </w:pPr>
            <w:r w:rsidRPr="00C64260">
              <w:rPr>
                <w:rFonts w:eastAsia="Times New Roman" w:cs="Times New Roman"/>
                <w:color w:val="000000"/>
                <w:kern w:val="0"/>
                <w:sz w:val="24"/>
                <w:szCs w:val="24"/>
                <w14:ligatures w14:val="none"/>
              </w:rPr>
              <w:t>Tiếp thu, Bộ KH&amp;ĐT đã hoàn thiện tại dự thảo Nghị định.</w:t>
            </w:r>
          </w:p>
        </w:tc>
      </w:tr>
      <w:tr w:rsidR="00A25F23" w:rsidRPr="00C64260" w14:paraId="06B1EDF8" w14:textId="77777777" w:rsidTr="00C64260">
        <w:trPr>
          <w:trHeight w:val="320"/>
        </w:trPr>
        <w:tc>
          <w:tcPr>
            <w:tcW w:w="15730" w:type="dxa"/>
            <w:gridSpan w:val="5"/>
            <w:shd w:val="clear" w:color="auto" w:fill="auto"/>
            <w:noWrap/>
            <w:vAlign w:val="center"/>
            <w:hideMark/>
          </w:tcPr>
          <w:p w14:paraId="7B304AC9" w14:textId="6C7F8396" w:rsidR="00A25F23" w:rsidRPr="00C64260" w:rsidRDefault="00A25F23" w:rsidP="004F3553">
            <w:pPr>
              <w:spacing w:before="0" w:after="0"/>
              <w:rPr>
                <w:rFonts w:eastAsia="Times New Roman" w:cs="Times New Roman"/>
                <w:b/>
                <w:bCs/>
                <w:color w:val="000000"/>
                <w:kern w:val="0"/>
                <w:sz w:val="24"/>
                <w:szCs w:val="24"/>
                <w14:ligatures w14:val="none"/>
              </w:rPr>
            </w:pPr>
            <w:r w:rsidRPr="00C64260">
              <w:rPr>
                <w:rFonts w:eastAsia="Times New Roman" w:cs="Times New Roman"/>
                <w:b/>
                <w:bCs/>
                <w:color w:val="000000"/>
                <w:kern w:val="0"/>
                <w:sz w:val="24"/>
                <w:szCs w:val="24"/>
                <w14:ligatures w14:val="none"/>
              </w:rPr>
              <w:t>II. Dự thảo Nghị định gửi đi xin ý kiến</w:t>
            </w:r>
          </w:p>
        </w:tc>
      </w:tr>
      <w:tr w:rsidR="00B622BB" w:rsidRPr="00C64260" w14:paraId="28C1967E" w14:textId="77777777" w:rsidTr="00BB2F5C">
        <w:trPr>
          <w:trHeight w:val="3938"/>
        </w:trPr>
        <w:tc>
          <w:tcPr>
            <w:tcW w:w="2547" w:type="dxa"/>
            <w:gridSpan w:val="2"/>
            <w:vMerge w:val="restart"/>
            <w:shd w:val="clear" w:color="auto" w:fill="auto"/>
            <w:noWrap/>
            <w:vAlign w:val="center"/>
            <w:hideMark/>
          </w:tcPr>
          <w:p w14:paraId="47FB5F76" w14:textId="26574043" w:rsidR="00B622BB" w:rsidRPr="00C64260" w:rsidRDefault="00B622BB" w:rsidP="008C4682">
            <w:pPr>
              <w:spacing w:before="0" w:after="0"/>
              <w:jc w:val="center"/>
              <w:rPr>
                <w:rFonts w:eastAsia="Times New Roman" w:cs="Times New Roman"/>
                <w:b/>
                <w:bCs/>
                <w:color w:val="000000"/>
                <w:kern w:val="0"/>
                <w:sz w:val="24"/>
                <w:szCs w:val="24"/>
                <w14:ligatures w14:val="none"/>
              </w:rPr>
            </w:pPr>
          </w:p>
          <w:p w14:paraId="118A10BB" w14:textId="7C490D53" w:rsidR="00B622BB" w:rsidRPr="00C64260" w:rsidRDefault="00B622BB" w:rsidP="008C4682">
            <w:pPr>
              <w:spacing w:before="0" w:after="0"/>
              <w:jc w:val="center"/>
              <w:rPr>
                <w:rFonts w:eastAsia="Times New Roman" w:cs="Times New Roman"/>
                <w:b/>
                <w:bCs/>
                <w:color w:val="000000"/>
                <w:kern w:val="0"/>
                <w:sz w:val="24"/>
                <w:szCs w:val="24"/>
                <w14:ligatures w14:val="none"/>
              </w:rPr>
            </w:pPr>
          </w:p>
          <w:p w14:paraId="275515AA" w14:textId="199111D4" w:rsidR="00B622BB" w:rsidRPr="00C64260" w:rsidRDefault="00B622BB" w:rsidP="008C4682">
            <w:pPr>
              <w:spacing w:before="0" w:after="0"/>
              <w:jc w:val="center"/>
              <w:rPr>
                <w:rFonts w:eastAsia="Times New Roman" w:cs="Times New Roman"/>
                <w:b/>
                <w:bCs/>
                <w:color w:val="000000"/>
                <w:kern w:val="0"/>
                <w:sz w:val="24"/>
                <w:szCs w:val="24"/>
                <w14:ligatures w14:val="none"/>
              </w:rPr>
            </w:pPr>
          </w:p>
          <w:p w14:paraId="114289D8" w14:textId="77777777" w:rsidR="00B622BB" w:rsidRPr="00C64260" w:rsidRDefault="00B622BB" w:rsidP="008C4682">
            <w:pPr>
              <w:spacing w:before="0" w:after="0"/>
              <w:jc w:val="center"/>
              <w:rPr>
                <w:rFonts w:eastAsia="Times New Roman" w:cs="Times New Roman"/>
                <w:b/>
                <w:bCs/>
                <w:color w:val="000000"/>
                <w:kern w:val="0"/>
                <w:sz w:val="24"/>
                <w:szCs w:val="24"/>
                <w14:ligatures w14:val="none"/>
              </w:rPr>
            </w:pPr>
            <w:r w:rsidRPr="00C64260">
              <w:rPr>
                <w:rFonts w:eastAsia="Times New Roman" w:cs="Times New Roman"/>
                <w:b/>
                <w:bCs/>
                <w:color w:val="000000"/>
                <w:kern w:val="0"/>
                <w:sz w:val="24"/>
                <w:szCs w:val="24"/>
                <w14:ligatures w14:val="none"/>
              </w:rPr>
              <w:t>Điều 1</w:t>
            </w:r>
          </w:p>
          <w:p w14:paraId="181C2297" w14:textId="6D65C269" w:rsidR="00B622BB" w:rsidRPr="00C64260" w:rsidRDefault="00B622BB" w:rsidP="008C4682">
            <w:pPr>
              <w:spacing w:before="0" w:after="0"/>
              <w:jc w:val="center"/>
              <w:rPr>
                <w:rFonts w:eastAsia="Times New Roman" w:cs="Times New Roman"/>
                <w:b/>
                <w:bCs/>
                <w:color w:val="000000"/>
                <w:kern w:val="0"/>
                <w:sz w:val="24"/>
                <w:szCs w:val="24"/>
                <w14:ligatures w14:val="none"/>
              </w:rPr>
            </w:pPr>
            <w:r w:rsidRPr="00C64260">
              <w:rPr>
                <w:rFonts w:eastAsia="Times New Roman" w:cs="Times New Roman"/>
                <w:b/>
                <w:bCs/>
                <w:color w:val="000000"/>
                <w:kern w:val="0"/>
                <w:sz w:val="24"/>
                <w:szCs w:val="24"/>
                <w14:ligatures w14:val="none"/>
              </w:rPr>
              <w:t>(bổ sung điều 8a; 8b sau Điều 8Nghị định số 23/2024 ngày 27/02/2024)</w:t>
            </w:r>
          </w:p>
        </w:tc>
        <w:tc>
          <w:tcPr>
            <w:tcW w:w="8647" w:type="dxa"/>
            <w:shd w:val="clear" w:color="auto" w:fill="auto"/>
            <w:vAlign w:val="center"/>
            <w:hideMark/>
          </w:tcPr>
          <w:p w14:paraId="720297E6" w14:textId="1937809C"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TKV hiểu rằng sau khi ban hành Luật sửa đổi, bổ sung một số điều của Luật Quy hoạch, Luật Đầu tư, Luật Đầu tư theo phương thức đối tác công tư và Luật Đấu thầu, theo khoản 3 Điều 34a Luật Đấu thầu, việc bổ sung Điều 8a và Điều 8b tại Nghị định số 23/2024/NĐ-CP ngày 27/02/2024 nhằm hướng dẫn cho các trường hợp được bổ sung tại khoản 1 Điều 34a Luật Đấu thầu. Đồng thời, căn cứ dự thảo Luật sửa đổi, bổ sung, Thủ tướng quyết định đối với các dự án quy định tại điểm a, b, c khoản 1 Điều 34a Luật Đấu thầu; Người có thẩm quyền quyết định đối với dự án quy định tại điểm d khoản 1 Điều 34a Luật Đấu thầu.</w:t>
            </w:r>
          </w:p>
          <w:p w14:paraId="0A67B322" w14:textId="688A359C"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Tuy nhiên, dự thảo Nghị định sửa đổi đang bổ sung Điều 8a quy định hồ sơ, trình tự thủ tục tại điểm a, b khoản 3 Điều 34 và Điều 8b quy định hồ sơ, trình tự thủ tục tại điểm c khoản 3 Điều 34. Do vậy, TKV đề nghị nghiên cứu, xem xét lại các dẫn chiếu và nội dung cho phù hợp.</w:t>
            </w:r>
          </w:p>
        </w:tc>
        <w:tc>
          <w:tcPr>
            <w:tcW w:w="1842" w:type="dxa"/>
            <w:shd w:val="clear" w:color="auto" w:fill="auto"/>
            <w:vAlign w:val="center"/>
            <w:hideMark/>
          </w:tcPr>
          <w:p w14:paraId="3C7B1A25" w14:textId="77777777"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Tập đoàn Than khoán sản Việt Nam</w:t>
            </w:r>
          </w:p>
          <w:p w14:paraId="31BA9FA1" w14:textId="77777777"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 </w:t>
            </w:r>
          </w:p>
        </w:tc>
        <w:tc>
          <w:tcPr>
            <w:tcW w:w="2694" w:type="dxa"/>
            <w:shd w:val="clear" w:color="auto" w:fill="auto"/>
            <w:vAlign w:val="center"/>
          </w:tcPr>
          <w:p w14:paraId="59A6DE3F" w14:textId="446DA1A6"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 </w:t>
            </w:r>
            <w:r w:rsidR="00B816E3" w:rsidRPr="00C64260">
              <w:rPr>
                <w:rFonts w:eastAsia="Times New Roman" w:cs="Times New Roman"/>
                <w:color w:val="000000"/>
                <w:kern w:val="0"/>
                <w:sz w:val="24"/>
                <w:szCs w:val="24"/>
                <w14:ligatures w14:val="none"/>
              </w:rPr>
              <w:t>Tiếp thu, Bộ KH&amp;ĐT đã hoàn thiện tại dự thảo Nghị định.</w:t>
            </w:r>
          </w:p>
          <w:p w14:paraId="5AAFE3C3" w14:textId="71A90ACC"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 </w:t>
            </w:r>
          </w:p>
        </w:tc>
      </w:tr>
      <w:tr w:rsidR="00B622BB" w:rsidRPr="00C64260" w14:paraId="46E0BF1D" w14:textId="77777777" w:rsidTr="00BB2F5C">
        <w:trPr>
          <w:trHeight w:val="3938"/>
        </w:trPr>
        <w:tc>
          <w:tcPr>
            <w:tcW w:w="2547" w:type="dxa"/>
            <w:gridSpan w:val="2"/>
            <w:vMerge/>
            <w:shd w:val="clear" w:color="auto" w:fill="auto"/>
            <w:noWrap/>
            <w:vAlign w:val="center"/>
          </w:tcPr>
          <w:p w14:paraId="5A0C7D82" w14:textId="77777777" w:rsidR="00B622BB" w:rsidRPr="00C64260" w:rsidRDefault="00B622BB" w:rsidP="008C4682">
            <w:pPr>
              <w:spacing w:before="0" w:after="0"/>
              <w:jc w:val="center"/>
              <w:rPr>
                <w:rFonts w:eastAsia="Times New Roman" w:cs="Times New Roman"/>
                <w:color w:val="000000"/>
                <w:kern w:val="0"/>
                <w:sz w:val="24"/>
                <w:szCs w:val="24"/>
                <w14:ligatures w14:val="none"/>
              </w:rPr>
            </w:pPr>
          </w:p>
        </w:tc>
        <w:tc>
          <w:tcPr>
            <w:tcW w:w="8647" w:type="dxa"/>
            <w:shd w:val="clear" w:color="auto" w:fill="auto"/>
            <w:vAlign w:val="center"/>
          </w:tcPr>
          <w:p w14:paraId="3170C665" w14:textId="4B6EFA8E"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Đề nghị Quý Bộ xem xét lại Điều 1 của Dự thảo với nội dung:</w:t>
            </w:r>
          </w:p>
          <w:p w14:paraId="665C7862" w14:textId="7B8EF525"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Bổ sung Điều 8a và Điều 8b sau Điều 8 như sau:</w:t>
            </w:r>
          </w:p>
          <w:p w14:paraId="377588E7" w14:textId="365F8B4C"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Điều 8a. Hồ sơ, quy trình, thủ tục lựa chọn nhà đầu tư trong trường hợp đặc biệt đối với trường hợp quy định tại điểm a và điểm b khoản 3, Điều 34 của Luật Đấu thầu (được sửa đổi, bổ sung năm 2024).</w:t>
            </w:r>
          </w:p>
          <w:p w14:paraId="4DFE9B74" w14:textId="0A6FAA05"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 xml:space="preserve">Điều 8b. Hồ sơ, quy trình, thủ tục lựa chọn nhà đầu tư trong trường hợp đặc biệt đối với trường hợp quy định tại điểm c và điểm d khoản 3, Điều 34 của Luật Đấu thầu (được sửa đổi, bổ sung năm </w:t>
            </w:r>
            <w:proofErr w:type="gramStart"/>
            <w:r w:rsidRPr="00C64260">
              <w:rPr>
                <w:rFonts w:eastAsia="Times New Roman" w:cs="Times New Roman"/>
                <w:color w:val="000000"/>
                <w:kern w:val="0"/>
                <w:sz w:val="24"/>
                <w:szCs w:val="24"/>
                <w14:ligatures w14:val="none"/>
              </w:rPr>
              <w:t>2024)...</w:t>
            </w:r>
            <w:proofErr w:type="gramEnd"/>
            <w:r w:rsidRPr="00C64260">
              <w:rPr>
                <w:rFonts w:eastAsia="Times New Roman" w:cs="Times New Roman"/>
                <w:color w:val="000000"/>
                <w:kern w:val="0"/>
                <w:sz w:val="24"/>
                <w:szCs w:val="24"/>
                <w14:ligatures w14:val="none"/>
              </w:rPr>
              <w:t>.</w:t>
            </w:r>
          </w:p>
          <w:p w14:paraId="2C37BE24" w14:textId="3B9E855C"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Trên thực tế hiện nay chỉ có Luật đấu thầu số 22/2023/QH15 có hiệu lực thi hành từ ngày 01 tháng 01 năm 2024, chưa rõ Luật Đấu thầu (được sửa đổi, bổ sung năm 2024) là văn bản nào. Ngoài 1, Điều 34, Luật đấu thầu số 22/2023/QH15 cũng chỉ có khoản 1, khoản 2 nên văn bản gây khó khăn cho người thực hiện khi dẫn chiếu quy định tại điểm a, điểm b Khoản 3 của Điều 34 của Luật đấu thầu (thực tế không có Khoản 3).</w:t>
            </w:r>
          </w:p>
        </w:tc>
        <w:tc>
          <w:tcPr>
            <w:tcW w:w="1842" w:type="dxa"/>
            <w:shd w:val="clear" w:color="auto" w:fill="auto"/>
            <w:vAlign w:val="center"/>
          </w:tcPr>
          <w:p w14:paraId="348E55B7" w14:textId="77777777"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Hội Liên hiệp Phụ nữ Việt Nam</w:t>
            </w:r>
          </w:p>
        </w:tc>
        <w:tc>
          <w:tcPr>
            <w:tcW w:w="2694" w:type="dxa"/>
            <w:shd w:val="clear" w:color="auto" w:fill="auto"/>
            <w:vAlign w:val="center"/>
          </w:tcPr>
          <w:p w14:paraId="718643B7" w14:textId="3CDF46F4" w:rsidR="00B622BB" w:rsidRPr="00C64260" w:rsidRDefault="00B816E3"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Tiếp thu, Bộ KH&amp;ĐT đã hoàn thiện tại dự thảo Nghị định.</w:t>
            </w:r>
          </w:p>
        </w:tc>
      </w:tr>
      <w:tr w:rsidR="00B622BB" w:rsidRPr="00C64260" w14:paraId="77534795" w14:textId="77777777" w:rsidTr="00BB2F5C">
        <w:trPr>
          <w:trHeight w:val="1360"/>
        </w:trPr>
        <w:tc>
          <w:tcPr>
            <w:tcW w:w="2547" w:type="dxa"/>
            <w:gridSpan w:val="2"/>
            <w:vMerge/>
            <w:shd w:val="clear" w:color="auto" w:fill="auto"/>
            <w:noWrap/>
            <w:vAlign w:val="center"/>
          </w:tcPr>
          <w:p w14:paraId="637C37B6" w14:textId="77777777" w:rsidR="00B622BB" w:rsidRPr="00C64260" w:rsidRDefault="00B622BB" w:rsidP="008C4682">
            <w:pPr>
              <w:spacing w:before="0" w:after="0"/>
              <w:jc w:val="center"/>
              <w:rPr>
                <w:rFonts w:eastAsia="Times New Roman" w:cs="Times New Roman"/>
                <w:color w:val="000000"/>
                <w:kern w:val="0"/>
                <w:sz w:val="24"/>
                <w:szCs w:val="24"/>
                <w14:ligatures w14:val="none"/>
              </w:rPr>
            </w:pPr>
          </w:p>
        </w:tc>
        <w:tc>
          <w:tcPr>
            <w:tcW w:w="8647" w:type="dxa"/>
            <w:shd w:val="clear" w:color="auto" w:fill="auto"/>
            <w:vAlign w:val="center"/>
          </w:tcPr>
          <w:p w14:paraId="3864B201" w14:textId="77777777"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Tại Điều 1 của dự thảo Nghị định quy định: Bổ sung Điều 8a và 8b sau Điều 8 Nghị định số 23/2024/NĐ-CP ngày 27/02/2024 như sau:</w:t>
            </w:r>
          </w:p>
          <w:p w14:paraId="0A0DA603" w14:textId="77777777"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 xml:space="preserve">“Điều 8a. Hồ sơ, quy trình, thủ tục lựa chọn nhà đầu tư trong trường hợp đặc biệt đối với trường hợp quy định tại điểm a và điểm b khoản 3 Điều 34 của Luật Đấu thầu (được sửa đổi, bổ sung năm </w:t>
            </w:r>
            <w:proofErr w:type="gramStart"/>
            <w:r w:rsidRPr="00C64260">
              <w:rPr>
                <w:rFonts w:eastAsia="Times New Roman" w:cs="Times New Roman"/>
                <w:color w:val="000000"/>
                <w:kern w:val="0"/>
                <w:sz w:val="24"/>
                <w:szCs w:val="24"/>
                <w14:ligatures w14:val="none"/>
              </w:rPr>
              <w:t>2024)...</w:t>
            </w:r>
            <w:proofErr w:type="gramEnd"/>
          </w:p>
          <w:p w14:paraId="48A665CE" w14:textId="77777777"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 xml:space="preserve">Điều 8b. Hồ sơ, quy trình, thủ tục lựa chọn nhà đầu tư trong trường hợp đặc biệt đối với trường hợp quy định tại điểm c khoản 3 Điều 34 của Luật Đấu thầu (được sửa đổi, bổ sung năm </w:t>
            </w:r>
            <w:proofErr w:type="gramStart"/>
            <w:r w:rsidRPr="00C64260">
              <w:rPr>
                <w:rFonts w:eastAsia="Times New Roman" w:cs="Times New Roman"/>
                <w:color w:val="000000"/>
                <w:kern w:val="0"/>
                <w:sz w:val="24"/>
                <w:szCs w:val="24"/>
                <w14:ligatures w14:val="none"/>
              </w:rPr>
              <w:t>2024)...</w:t>
            </w:r>
            <w:proofErr w:type="gramEnd"/>
            <w:r w:rsidRPr="00C64260">
              <w:rPr>
                <w:rFonts w:eastAsia="Times New Roman" w:cs="Times New Roman"/>
                <w:color w:val="000000"/>
                <w:kern w:val="0"/>
                <w:sz w:val="24"/>
                <w:szCs w:val="24"/>
                <w14:ligatures w14:val="none"/>
              </w:rPr>
              <w:t>"</w:t>
            </w:r>
          </w:p>
          <w:p w14:paraId="329C69D3" w14:textId="77777777"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Tuy nhiên, tại khoản 11, khoản 12 Điều 4 của dự thảo Luật sửa đổi, bổ sung một số điều của Luật Quy hoạch, Luật Đầu tư, Luật Đầu tư theo phương thức đối tác công tư và Luật Đấu thầu (gửi kèm theo Công văn số 9337/BKHĐT- QLĐT) chỉ bổ sung thêm khoản 3 vào sau khoản 2 Điều 34, Điều 34a vào sau Điều 34 mà không bổ sung khoản 3 Điều 34 gồm các điểm a, b, c.</w:t>
            </w:r>
          </w:p>
          <w:p w14:paraId="2F7225BF" w14:textId="3594A343"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Do đó đề nghị Bộ Kế hoạch và Đầu tư xem xét, chỉnh sửa lại nội dung quy định trên cho phù hợp giữa dự thảo Luật và dự thảo Nghị định</w:t>
            </w:r>
          </w:p>
        </w:tc>
        <w:tc>
          <w:tcPr>
            <w:tcW w:w="1842" w:type="dxa"/>
            <w:shd w:val="clear" w:color="auto" w:fill="auto"/>
            <w:vAlign w:val="center"/>
          </w:tcPr>
          <w:p w14:paraId="491EE80D" w14:textId="6C006A72"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Ủy Ban nhân dân tỉnh Lai Châu</w:t>
            </w:r>
          </w:p>
        </w:tc>
        <w:tc>
          <w:tcPr>
            <w:tcW w:w="2694" w:type="dxa"/>
            <w:shd w:val="clear" w:color="auto" w:fill="auto"/>
            <w:noWrap/>
            <w:vAlign w:val="center"/>
          </w:tcPr>
          <w:p w14:paraId="41B9287E" w14:textId="402B7FE4" w:rsidR="00B622BB" w:rsidRPr="00C64260" w:rsidRDefault="00B816E3"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Tiếp thu, Bộ KH&amp;ĐT đã hoàn thiện tại dự thảo Nghị định, bảo đảm tuân thủ quy định tại Điều 34a Luật Đấu thầu.</w:t>
            </w:r>
          </w:p>
        </w:tc>
      </w:tr>
      <w:tr w:rsidR="00B622BB" w:rsidRPr="00C64260" w14:paraId="2A950C71" w14:textId="77777777" w:rsidTr="00BB2F5C">
        <w:trPr>
          <w:trHeight w:val="1360"/>
        </w:trPr>
        <w:tc>
          <w:tcPr>
            <w:tcW w:w="2547" w:type="dxa"/>
            <w:gridSpan w:val="2"/>
            <w:vMerge/>
            <w:shd w:val="clear" w:color="auto" w:fill="auto"/>
            <w:noWrap/>
            <w:vAlign w:val="center"/>
          </w:tcPr>
          <w:p w14:paraId="553F3D52" w14:textId="77777777" w:rsidR="00B622BB" w:rsidRPr="00C64260" w:rsidRDefault="00B622BB" w:rsidP="008C4682">
            <w:pPr>
              <w:spacing w:before="0" w:after="0"/>
              <w:jc w:val="center"/>
              <w:rPr>
                <w:rFonts w:eastAsia="Times New Roman" w:cs="Times New Roman"/>
                <w:color w:val="000000"/>
                <w:kern w:val="0"/>
                <w:sz w:val="24"/>
                <w:szCs w:val="24"/>
                <w14:ligatures w14:val="none"/>
              </w:rPr>
            </w:pPr>
          </w:p>
        </w:tc>
        <w:tc>
          <w:tcPr>
            <w:tcW w:w="8647" w:type="dxa"/>
            <w:shd w:val="clear" w:color="auto" w:fill="auto"/>
            <w:vAlign w:val="center"/>
          </w:tcPr>
          <w:p w14:paraId="38E5A749" w14:textId="73C0A21E"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 xml:space="preserve">Hồ sơ, quy trình, thủ tục lựa chọn nhà đầu tư trong trường hợp đặc biệt đối với trường hợp quy định tại điểm a và b khoản 3 Điều 34 của Luật Đấu thầu (được sửa đổi, bổ sung năm 2024) và (ii) Bổ sung Điều 8b. Hồ sơ, quy trình, thủ tục lựa chọn nhà đầu tư trong trường hợp đặc biệt đối với trường hợp quy định tại điểm c khoản 3 Điều 34 của Luật Đấu thầu (được sửa đổi, bổ sung năm 2024). Đồng thời tại Điều 4. Sửa đổi, bổ sung một số điều của Nghị định số 115/2024/NĐ-CP ngày 16 tháng 9 năm 2024 của Chính phủ </w:t>
            </w:r>
            <w:r w:rsidRPr="00C64260">
              <w:rPr>
                <w:rFonts w:eastAsia="Times New Roman" w:cs="Times New Roman"/>
                <w:color w:val="000000"/>
                <w:kern w:val="0"/>
                <w:sz w:val="24"/>
                <w:szCs w:val="24"/>
                <w14:ligatures w14:val="none"/>
              </w:rPr>
              <w:lastRenderedPageBreak/>
              <w:t>quy định chi tiết một số điều và biện pháp thi hành Luật Đấu thầu về lựa chọn nhà đầu tư thực hiện dự án đầu tư có sử dụng đất có quy định: (iii) Bổ sung Điều 9a. Hồ sơ, quy trình, thủ tục lựa chọn nhà đầu tư trong trường hợp đặc biệt đối với trường hợp quy định tại điểm a và b khoản 3 Điều 34 của Luật Đấu thầu (được sửa đổi, bổ sung năm 2024) và (iv) Bổ sung Điều 9b. Hồ sơ, quy trình, thủ tục lựa chọn nhà đầu tư trong trường hợp đặc biệt đối với trường hợp quy định tại điểm c khoản 3 Điều 34 của Luật Đấu thầu (được sửa đổi, bổ sung năm 2024).</w:t>
            </w:r>
          </w:p>
          <w:p w14:paraId="76204462" w14:textId="68F40069"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Tuy nhiên, tại dự thảo Luật được gửi kèm theo văn bản số 9337/BKHĐT-QLĐT ngày 12/11/2024 quy định bổ sung khoản “3. Lựa chọn nhà đầu tư trong trường hợp đặc biệt” vào Điều 34 Luật Đấu thầu năm 2023 và tại khoán 3 không có quy định nội dung các điểm a, b, c như dự thảo Nghị định nêu, đồng thời tại Điều 34 cũng không giao Chính Phủ quy định chi tiết. Mặt khác, tại dự thảo Luật có bổ sung Điều 34a. Lựa chọn nhà đầu tư trong trường hợp đặc biệt; tại khoản 3 Điều 34a có giao Chính phủ quy định chi tiết hồ sơ, trình tự, thủ tục lựa chọn nhà đầu tư trong trường hợp đặc biệt. Do vậy, đề nghị Cục Quản lý đầu thầu rà soát lại nội dung và việc trích dẫn các điều, khoản để quy định chi tiết đúng với dự thảo Luật.</w:t>
            </w:r>
          </w:p>
        </w:tc>
        <w:tc>
          <w:tcPr>
            <w:tcW w:w="1842" w:type="dxa"/>
            <w:shd w:val="clear" w:color="auto" w:fill="auto"/>
            <w:vAlign w:val="center"/>
          </w:tcPr>
          <w:p w14:paraId="4EEC5C63" w14:textId="502573C6"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lastRenderedPageBreak/>
              <w:t>Vụ Quản lý quy hoạch</w:t>
            </w:r>
          </w:p>
        </w:tc>
        <w:tc>
          <w:tcPr>
            <w:tcW w:w="2694" w:type="dxa"/>
            <w:shd w:val="clear" w:color="auto" w:fill="auto"/>
            <w:noWrap/>
            <w:vAlign w:val="center"/>
          </w:tcPr>
          <w:p w14:paraId="5CA1144F" w14:textId="17FE26AB" w:rsidR="00B622BB" w:rsidRPr="00C64260" w:rsidRDefault="00B816E3"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Tiếp thu, Bộ KH&amp;ĐT đã hoàn thiện tại dự thảo Nghị định, bảo đảm tuân thủ quy định tại Điều 34a Luật Đấu thầu.</w:t>
            </w:r>
          </w:p>
        </w:tc>
      </w:tr>
      <w:tr w:rsidR="00B622BB" w:rsidRPr="00C64260" w14:paraId="1F409BA8" w14:textId="77777777" w:rsidTr="00BB2F5C">
        <w:trPr>
          <w:trHeight w:val="1360"/>
        </w:trPr>
        <w:tc>
          <w:tcPr>
            <w:tcW w:w="2547" w:type="dxa"/>
            <w:gridSpan w:val="2"/>
            <w:vMerge/>
            <w:shd w:val="clear" w:color="auto" w:fill="auto"/>
            <w:noWrap/>
            <w:vAlign w:val="center"/>
          </w:tcPr>
          <w:p w14:paraId="73D3CE2B" w14:textId="77777777" w:rsidR="00B622BB" w:rsidRPr="00C64260" w:rsidRDefault="00B622BB" w:rsidP="008C4682">
            <w:pPr>
              <w:spacing w:before="0" w:after="0"/>
              <w:jc w:val="center"/>
              <w:rPr>
                <w:rFonts w:eastAsia="Times New Roman" w:cs="Times New Roman"/>
                <w:color w:val="000000"/>
                <w:kern w:val="0"/>
                <w:sz w:val="24"/>
                <w:szCs w:val="24"/>
                <w14:ligatures w14:val="none"/>
              </w:rPr>
            </w:pPr>
          </w:p>
        </w:tc>
        <w:tc>
          <w:tcPr>
            <w:tcW w:w="8647" w:type="dxa"/>
            <w:shd w:val="clear" w:color="auto" w:fill="auto"/>
            <w:vAlign w:val="center"/>
          </w:tcPr>
          <w:p w14:paraId="1F9938B1" w14:textId="0CA11C1B"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Khoản 4 Điều 8a, thuộc Điều 1, đề nghị sửa “... khoản 3 Điều này, ...” thành “... khoản 2 Điều này, ...”</w:t>
            </w:r>
          </w:p>
        </w:tc>
        <w:tc>
          <w:tcPr>
            <w:tcW w:w="1842" w:type="dxa"/>
            <w:shd w:val="clear" w:color="auto" w:fill="auto"/>
            <w:vAlign w:val="center"/>
          </w:tcPr>
          <w:p w14:paraId="54209586" w14:textId="71E13D17"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Sở Kế hoạch và Đầu tư tỉnh Nam Định</w:t>
            </w:r>
          </w:p>
        </w:tc>
        <w:tc>
          <w:tcPr>
            <w:tcW w:w="2694" w:type="dxa"/>
            <w:shd w:val="clear" w:color="auto" w:fill="auto"/>
            <w:noWrap/>
            <w:vAlign w:val="center"/>
          </w:tcPr>
          <w:p w14:paraId="01150A81" w14:textId="4762999F" w:rsidR="00B622BB" w:rsidRPr="00C64260" w:rsidRDefault="00B816E3"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Tiếp thu, Bộ KH&amp;ĐT đã hoàn thiện tại dự thảo Nghị định.</w:t>
            </w:r>
          </w:p>
        </w:tc>
      </w:tr>
      <w:tr w:rsidR="00B622BB" w:rsidRPr="00C64260" w14:paraId="1B90A647" w14:textId="77777777" w:rsidTr="00BB2F5C">
        <w:trPr>
          <w:trHeight w:val="1360"/>
        </w:trPr>
        <w:tc>
          <w:tcPr>
            <w:tcW w:w="2547" w:type="dxa"/>
            <w:gridSpan w:val="2"/>
            <w:vMerge/>
            <w:shd w:val="clear" w:color="auto" w:fill="auto"/>
            <w:noWrap/>
            <w:vAlign w:val="center"/>
          </w:tcPr>
          <w:p w14:paraId="49321CE2" w14:textId="77777777" w:rsidR="00B622BB" w:rsidRPr="00C64260" w:rsidRDefault="00B622BB" w:rsidP="008C4682">
            <w:pPr>
              <w:spacing w:before="0" w:after="0"/>
              <w:jc w:val="center"/>
              <w:rPr>
                <w:rFonts w:eastAsia="Times New Roman" w:cs="Times New Roman"/>
                <w:color w:val="000000"/>
                <w:kern w:val="0"/>
                <w:sz w:val="24"/>
                <w:szCs w:val="24"/>
                <w14:ligatures w14:val="none"/>
              </w:rPr>
            </w:pPr>
          </w:p>
        </w:tc>
        <w:tc>
          <w:tcPr>
            <w:tcW w:w="8647" w:type="dxa"/>
            <w:shd w:val="clear" w:color="auto" w:fill="auto"/>
            <w:vAlign w:val="center"/>
          </w:tcPr>
          <w:p w14:paraId="228ADDA6" w14:textId="05F6869B"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cs="Times New Roman"/>
                <w:sz w:val="24"/>
                <w:szCs w:val="24"/>
              </w:rPr>
              <w:t xml:space="preserve">Đề nghị Bộ Kế hoạch và Đầu tư xem xét kiểm tra – đối chiếu sự tương đồng giữa dự thảo Nghị định và dự thảo Luật: tại dự thảo Nghị định: </w:t>
            </w:r>
            <w:r w:rsidRPr="00C64260">
              <w:rPr>
                <w:rFonts w:cs="Times New Roman"/>
                <w:i/>
                <w:iCs/>
                <w:sz w:val="24"/>
                <w:szCs w:val="24"/>
              </w:rPr>
              <w:t xml:space="preserve">“Điều 8a. Hồ sơ, quy trình, thủ tục lựa chọn nhà đầu tư…. quy định tại điểm a và điểm b khoản 3 Điều 34 của Luật Đấu thầu (được sửa đổi, bổ sung năm 2024)” </w:t>
            </w:r>
            <w:r w:rsidRPr="00C64260">
              <w:rPr>
                <w:rFonts w:cs="Times New Roman"/>
                <w:sz w:val="24"/>
                <w:szCs w:val="24"/>
              </w:rPr>
              <w:t xml:space="preserve">và </w:t>
            </w:r>
            <w:r w:rsidRPr="00C64260">
              <w:rPr>
                <w:rFonts w:cs="Times New Roman"/>
                <w:i/>
                <w:iCs/>
                <w:sz w:val="24"/>
                <w:szCs w:val="24"/>
              </w:rPr>
              <w:t>“Điều 8b. Hồ sơ, quy trình, thủ tục lựa chọn nhà đầu tư…. quy định tại điểm c khoản 3 Điều 34 của Luật Đấu thầu (được sửa đổi, bổ sung năm 2024)”</w:t>
            </w:r>
            <w:r w:rsidRPr="00C64260">
              <w:rPr>
                <w:rFonts w:cs="Times New Roman"/>
                <w:sz w:val="24"/>
                <w:szCs w:val="24"/>
              </w:rPr>
              <w:t xml:space="preserve">; tại dự thảo Luật Sửa đổi, bổ sung một số điều của Luật Quy hoạch, Luật Đầu tư, Luật Đầu tư theo phương thức đối tác công tư và Luật Đấu thầu: tại khoản </w:t>
            </w:r>
            <w:r w:rsidRPr="00C64260">
              <w:rPr>
                <w:rFonts w:cs="Times New Roman"/>
                <w:i/>
                <w:iCs/>
                <w:sz w:val="24"/>
                <w:szCs w:val="24"/>
              </w:rPr>
              <w:t xml:space="preserve">“11. Bổ sung khoản 3 vào sau khoản 2 Điều 34 như sau 3. Lựa chọn nhà đầu tư trong trường hợp đặc biệt” </w:t>
            </w:r>
            <w:r w:rsidRPr="00C64260">
              <w:rPr>
                <w:rFonts w:cs="Times New Roman"/>
                <w:sz w:val="24"/>
                <w:szCs w:val="24"/>
              </w:rPr>
              <w:t>– Trong dự thảo Luật Sửa đổi, bổ sung một số điều của Luật Quy hoạch, Luật Đầu tư, Luật Đầu tư theo phương thức đối tác công tư và Luật Đấu thầu không có các khoản a, b, c</w:t>
            </w:r>
          </w:p>
        </w:tc>
        <w:tc>
          <w:tcPr>
            <w:tcW w:w="1842" w:type="dxa"/>
            <w:shd w:val="clear" w:color="auto" w:fill="auto"/>
            <w:vAlign w:val="center"/>
          </w:tcPr>
          <w:p w14:paraId="4465F116" w14:textId="2AFDAC8C"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Sở Kế hoạch và Đầu tư tỉnh Khánh Hòa</w:t>
            </w:r>
          </w:p>
        </w:tc>
        <w:tc>
          <w:tcPr>
            <w:tcW w:w="2694" w:type="dxa"/>
            <w:shd w:val="clear" w:color="auto" w:fill="auto"/>
            <w:noWrap/>
            <w:vAlign w:val="center"/>
          </w:tcPr>
          <w:p w14:paraId="15DEB349" w14:textId="5F502615" w:rsidR="00B622BB" w:rsidRPr="00C64260" w:rsidRDefault="006343E0"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Tiếp thu, Bộ KH&amp;ĐT đã hoàn thiện tại dự thảo Nghị định, bảo đảm tuân thủ quy định tại Điều 34a Luật Đấu thầu.</w:t>
            </w:r>
          </w:p>
        </w:tc>
      </w:tr>
      <w:tr w:rsidR="00B622BB" w:rsidRPr="00C64260" w14:paraId="55601E9B" w14:textId="77777777" w:rsidTr="00BB2F5C">
        <w:trPr>
          <w:trHeight w:val="1360"/>
        </w:trPr>
        <w:tc>
          <w:tcPr>
            <w:tcW w:w="2547" w:type="dxa"/>
            <w:gridSpan w:val="2"/>
            <w:vMerge/>
            <w:shd w:val="clear" w:color="auto" w:fill="auto"/>
            <w:noWrap/>
            <w:vAlign w:val="center"/>
          </w:tcPr>
          <w:p w14:paraId="2A633F84" w14:textId="77777777" w:rsidR="00B622BB" w:rsidRPr="00C64260" w:rsidRDefault="00B622BB" w:rsidP="008C4682">
            <w:pPr>
              <w:spacing w:before="0" w:after="0"/>
              <w:jc w:val="center"/>
              <w:rPr>
                <w:rFonts w:eastAsia="Times New Roman" w:cs="Times New Roman"/>
                <w:color w:val="000000"/>
                <w:kern w:val="0"/>
                <w:sz w:val="24"/>
                <w:szCs w:val="24"/>
                <w14:ligatures w14:val="none"/>
              </w:rPr>
            </w:pPr>
          </w:p>
        </w:tc>
        <w:tc>
          <w:tcPr>
            <w:tcW w:w="8647" w:type="dxa"/>
            <w:shd w:val="clear" w:color="auto" w:fill="auto"/>
            <w:vAlign w:val="center"/>
          </w:tcPr>
          <w:p w14:paraId="3C8885EB" w14:textId="714FE5B5" w:rsidR="00B622BB" w:rsidRPr="00C64260" w:rsidRDefault="00B622BB" w:rsidP="00C64260">
            <w:pPr>
              <w:spacing w:before="0" w:after="0"/>
              <w:rPr>
                <w:rFonts w:cs="Times New Roman"/>
                <w:sz w:val="24"/>
                <w:szCs w:val="24"/>
              </w:rPr>
            </w:pPr>
            <w:r w:rsidRPr="00C64260">
              <w:rPr>
                <w:rFonts w:cs="Times New Roman"/>
                <w:sz w:val="24"/>
                <w:szCs w:val="24"/>
              </w:rPr>
              <w:t>Khoản 2 (bổ sung Điều 43a), đề nghị: (1) rà soát, điều chỉnh thuật ngữ “dự án” thành “dự án đầu tư kinh doanh” để thống nhất với đối tượng áp dụng tại Điều 2 Luật Đấu thầu năm 2023; (2) rà soát, bổ sung nội dung “mà không thể áp dụng được một trong các hình thức lựa chọn nhà đầu tư quy định tại khoản 1 và khoản 2 Điều 34 của Luật này” để phù hợp với quy định khoản 12 Điều 4 Luật sửa đổi, bổ sung 4 luật (bổ sung Điều 34a); (3) việc quy định tại điểm d khoản 1 Điều 43a đã bao gồm các trường hợp tại khoản 2 Điều 43a, do đó cần rà soát để quy định phù hợp, phân định rõ trường hợp thuộc thẩm quyền của Thủ tướng Chính phủ hay của cơ quan có thẩm quyền khác. Bên cạnh đó, rà soát lại việc quy định là cơ quan có thẩm quyền hay là người có thẩm quyền.</w:t>
            </w:r>
          </w:p>
        </w:tc>
        <w:tc>
          <w:tcPr>
            <w:tcW w:w="1842" w:type="dxa"/>
            <w:shd w:val="clear" w:color="auto" w:fill="auto"/>
            <w:vAlign w:val="center"/>
          </w:tcPr>
          <w:p w14:paraId="5C864F7A" w14:textId="2D0BF786"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Thanh tra Bộ</w:t>
            </w:r>
            <w:r w:rsidR="006343E0" w:rsidRPr="00C64260">
              <w:rPr>
                <w:rFonts w:eastAsia="Times New Roman" w:cs="Times New Roman"/>
                <w:color w:val="000000"/>
                <w:kern w:val="0"/>
                <w:sz w:val="24"/>
                <w:szCs w:val="24"/>
                <w14:ligatures w14:val="none"/>
              </w:rPr>
              <w:t xml:space="preserve"> Tiếp thu, Bộ KH&amp;ĐT đã hoàn thiện tại dự thảo Nghị định, bảo đảm tuân thủ quy định tại Điều 34a Luật Đấu thầu.</w:t>
            </w:r>
          </w:p>
        </w:tc>
        <w:tc>
          <w:tcPr>
            <w:tcW w:w="2694" w:type="dxa"/>
            <w:shd w:val="clear" w:color="auto" w:fill="auto"/>
            <w:noWrap/>
            <w:vAlign w:val="center"/>
          </w:tcPr>
          <w:p w14:paraId="27A3E39F" w14:textId="3F239FA1" w:rsidR="00B622BB" w:rsidRPr="00C64260" w:rsidRDefault="006343E0"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Tiếp thu, Bộ KH&amp;ĐT đã hoàn thiện tại dự thảo Nghị định, bảo đảm tuân thủ quy định tại Điều 34a Luật Đấu thầu.</w:t>
            </w:r>
          </w:p>
        </w:tc>
      </w:tr>
      <w:tr w:rsidR="00B622BB" w:rsidRPr="00C64260" w14:paraId="17E30D41" w14:textId="77777777" w:rsidTr="00BB2F5C">
        <w:trPr>
          <w:trHeight w:val="1360"/>
        </w:trPr>
        <w:tc>
          <w:tcPr>
            <w:tcW w:w="2547" w:type="dxa"/>
            <w:gridSpan w:val="2"/>
            <w:vMerge/>
            <w:shd w:val="clear" w:color="auto" w:fill="auto"/>
            <w:noWrap/>
            <w:vAlign w:val="center"/>
          </w:tcPr>
          <w:p w14:paraId="3ED6F6FA" w14:textId="77777777" w:rsidR="00B622BB" w:rsidRPr="00C64260" w:rsidRDefault="00B622BB" w:rsidP="008C4682">
            <w:pPr>
              <w:spacing w:before="0" w:after="0"/>
              <w:jc w:val="center"/>
              <w:rPr>
                <w:rFonts w:eastAsia="Times New Roman" w:cs="Times New Roman"/>
                <w:color w:val="000000"/>
                <w:kern w:val="0"/>
                <w:sz w:val="24"/>
                <w:szCs w:val="24"/>
                <w14:ligatures w14:val="none"/>
              </w:rPr>
            </w:pPr>
          </w:p>
        </w:tc>
        <w:tc>
          <w:tcPr>
            <w:tcW w:w="8647" w:type="dxa"/>
            <w:shd w:val="clear" w:color="auto" w:fill="auto"/>
            <w:vAlign w:val="center"/>
          </w:tcPr>
          <w:p w14:paraId="58CAF10A" w14:textId="77777777" w:rsidR="00B0170E" w:rsidRDefault="00B622BB" w:rsidP="00C64260">
            <w:pPr>
              <w:spacing w:before="0" w:after="0"/>
              <w:rPr>
                <w:rFonts w:cs="Times New Roman"/>
                <w:sz w:val="24"/>
                <w:szCs w:val="24"/>
              </w:rPr>
            </w:pPr>
            <w:r w:rsidRPr="00C64260">
              <w:rPr>
                <w:rFonts w:cs="Times New Roman"/>
                <w:sz w:val="24"/>
                <w:szCs w:val="24"/>
              </w:rPr>
              <w:t xml:space="preserve">Đề nghị cơ quan chủ trì soạn thảo làm rõ quy định “mà chưa được pháp luật quản lý ngành, lĩnh vực quy định” là pháp luật quản lý ngành, lĩnh vực chưa 2 quy định các nội dung yêu cầu, điều kiện đặc thù hay chưa quy định về thẩm quyền quyết định lựa chọn nhà đầu tư trong trường hợp này? (điểm c khoản 1 Điều 43a). </w:t>
            </w:r>
          </w:p>
          <w:p w14:paraId="6D844275" w14:textId="77777777" w:rsidR="00B0170E" w:rsidRDefault="00B622BB" w:rsidP="00C64260">
            <w:pPr>
              <w:spacing w:before="0" w:after="0"/>
              <w:rPr>
                <w:rFonts w:cs="Times New Roman"/>
                <w:sz w:val="24"/>
                <w:szCs w:val="24"/>
              </w:rPr>
            </w:pPr>
            <w:r w:rsidRPr="00C64260">
              <w:rPr>
                <w:rFonts w:cs="Times New Roman"/>
                <w:sz w:val="24"/>
                <w:szCs w:val="24"/>
              </w:rPr>
              <w:t xml:space="preserve">- Quy định tại điểm d khoản 1 Điều 43a có thể dẫn đến tình huống không thể xác định được thẩm quyền quyết định việc lựa chọn nhà đầu tư trong trường hợp đặc biệt đối với dự án có yêu cầu bảo đảm quốc phòng, </w:t>
            </w:r>
            <w:proofErr w:type="gramStart"/>
            <w:r w:rsidRPr="00C64260">
              <w:rPr>
                <w:rFonts w:cs="Times New Roman"/>
                <w:sz w:val="24"/>
                <w:szCs w:val="24"/>
              </w:rPr>
              <w:t>an</w:t>
            </w:r>
            <w:proofErr w:type="gramEnd"/>
            <w:r w:rsidRPr="00C64260">
              <w:rPr>
                <w:rFonts w:cs="Times New Roman"/>
                <w:sz w:val="24"/>
                <w:szCs w:val="24"/>
              </w:rPr>
              <w:t xml:space="preserve"> ninh, đối ngoại, biên giới lãnh thổ là của Thủ tướng Chính phủ hay của cơ quan có thẩm quyền? </w:t>
            </w:r>
          </w:p>
          <w:p w14:paraId="57CD9D0D" w14:textId="7C8DF887" w:rsidR="00B622BB" w:rsidRPr="00C64260" w:rsidRDefault="00B622BB" w:rsidP="00C64260">
            <w:pPr>
              <w:spacing w:before="0" w:after="0"/>
              <w:rPr>
                <w:rFonts w:cs="Times New Roman"/>
                <w:sz w:val="24"/>
                <w:szCs w:val="24"/>
              </w:rPr>
            </w:pPr>
            <w:r w:rsidRPr="00C64260">
              <w:rPr>
                <w:rFonts w:cs="Times New Roman"/>
                <w:sz w:val="24"/>
                <w:szCs w:val="24"/>
              </w:rPr>
              <w:t>- Điểm b khoản 2 Điều 43b cần bổ sung nội dung giải trình về “chưa được pháp luật quản lý ngành, lĩnh vực quy định” đối với dự án quy định tại điểm c khoản 1 Điều 43a để đảm bảo tính thống nhất của văn bản. - Tại khoản 3 và khoản 4 Điều 43b cần làm rõ hồ sơ hợp lệ theo quy định tại khoản 2 hay khoản 3 Điều 43b?</w:t>
            </w:r>
          </w:p>
        </w:tc>
        <w:tc>
          <w:tcPr>
            <w:tcW w:w="1842" w:type="dxa"/>
            <w:shd w:val="clear" w:color="auto" w:fill="auto"/>
            <w:vAlign w:val="center"/>
          </w:tcPr>
          <w:p w14:paraId="060ED976" w14:textId="15271DC2"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Bộ Tư Pháp</w:t>
            </w:r>
          </w:p>
        </w:tc>
        <w:tc>
          <w:tcPr>
            <w:tcW w:w="2694" w:type="dxa"/>
            <w:shd w:val="clear" w:color="auto" w:fill="auto"/>
            <w:noWrap/>
            <w:vAlign w:val="center"/>
          </w:tcPr>
          <w:p w14:paraId="02B94043" w14:textId="77777777" w:rsidR="00B622BB" w:rsidRPr="00C64260" w:rsidRDefault="00B622BB" w:rsidP="00C64260">
            <w:pPr>
              <w:spacing w:before="0" w:after="0"/>
              <w:rPr>
                <w:rFonts w:eastAsia="Times New Roman" w:cs="Times New Roman"/>
                <w:color w:val="000000"/>
                <w:kern w:val="0"/>
                <w:sz w:val="24"/>
                <w:szCs w:val="24"/>
                <w14:ligatures w14:val="none"/>
              </w:rPr>
            </w:pPr>
          </w:p>
        </w:tc>
      </w:tr>
      <w:tr w:rsidR="00B622BB" w:rsidRPr="00C64260" w14:paraId="6ADC33C0" w14:textId="77777777" w:rsidTr="00BB2F5C">
        <w:trPr>
          <w:trHeight w:val="1360"/>
        </w:trPr>
        <w:tc>
          <w:tcPr>
            <w:tcW w:w="2547" w:type="dxa"/>
            <w:gridSpan w:val="2"/>
            <w:vMerge/>
            <w:shd w:val="clear" w:color="auto" w:fill="auto"/>
            <w:noWrap/>
            <w:vAlign w:val="center"/>
          </w:tcPr>
          <w:p w14:paraId="453F16F3" w14:textId="77777777" w:rsidR="00B622BB" w:rsidRPr="00C64260" w:rsidRDefault="00B622BB" w:rsidP="008C4682">
            <w:pPr>
              <w:spacing w:before="0" w:after="0"/>
              <w:jc w:val="center"/>
              <w:rPr>
                <w:rFonts w:eastAsia="Times New Roman" w:cs="Times New Roman"/>
                <w:color w:val="000000"/>
                <w:kern w:val="0"/>
                <w:sz w:val="24"/>
                <w:szCs w:val="24"/>
                <w14:ligatures w14:val="none"/>
              </w:rPr>
            </w:pPr>
          </w:p>
        </w:tc>
        <w:tc>
          <w:tcPr>
            <w:tcW w:w="8647" w:type="dxa"/>
            <w:shd w:val="clear" w:color="auto" w:fill="auto"/>
            <w:vAlign w:val="center"/>
          </w:tcPr>
          <w:p w14:paraId="20604138" w14:textId="28AEFA0D" w:rsidR="00B622BB" w:rsidRPr="00C64260" w:rsidRDefault="00B622BB" w:rsidP="00C64260">
            <w:pPr>
              <w:spacing w:before="0" w:after="0"/>
              <w:rPr>
                <w:rFonts w:cs="Times New Roman"/>
                <w:sz w:val="24"/>
                <w:szCs w:val="24"/>
              </w:rPr>
            </w:pPr>
            <w:r w:rsidRPr="00C64260">
              <w:rPr>
                <w:rFonts w:cs="Times New Roman"/>
                <w:sz w:val="24"/>
                <w:szCs w:val="24"/>
              </w:rPr>
              <w:t>Đề nghị đơn vị soạn thảo điều chỉnh quy định tại Điều 1 dự thảo Nghị định bổ sung Điều 8a và 8b vào sau Điều 8, cụ thể tại khoản 3 và 4 Điều 8a để đảm bảo tính hợp lý của dự thảo vì khoản 4 đang quy định khi nhận được hồ sơ tại khoản 3 thì Bộ Kế hoạch và Đầu tư mới tiến hành công tác lập báo cáo thẩm định và dự thảo Quyết định của Thủ tướng Chính phủ về việc áp dụng hình thức lựa chọn nhà đầu tư trong trường hợp đặc biệt (nếu đủ điều kiện) trình Thủ tướng Chính phủ xem xét, quyết định tại khoản 4 Điều này</w:t>
            </w:r>
          </w:p>
        </w:tc>
        <w:tc>
          <w:tcPr>
            <w:tcW w:w="1842" w:type="dxa"/>
            <w:shd w:val="clear" w:color="auto" w:fill="auto"/>
            <w:vAlign w:val="center"/>
          </w:tcPr>
          <w:p w14:paraId="27B2CC20" w14:textId="73809471"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Đại học Quốc gia TP Hồ Chí Minh</w:t>
            </w:r>
          </w:p>
        </w:tc>
        <w:tc>
          <w:tcPr>
            <w:tcW w:w="2694" w:type="dxa"/>
            <w:shd w:val="clear" w:color="auto" w:fill="auto"/>
            <w:noWrap/>
            <w:vAlign w:val="center"/>
          </w:tcPr>
          <w:p w14:paraId="114DA5BE" w14:textId="54AFB60F" w:rsidR="00B622BB" w:rsidRPr="00C64260" w:rsidRDefault="006343E0"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Tiếp thu, Bộ KH&amp;ĐT đã hoàn thiện tại dự thảo Nghị định, bảo đảm tuân thủ quy định tại Điều 34a Luật Đấu thầu.</w:t>
            </w:r>
          </w:p>
        </w:tc>
      </w:tr>
      <w:tr w:rsidR="00B622BB" w:rsidRPr="00C64260" w14:paraId="232AC309" w14:textId="77777777" w:rsidTr="00BB2F5C">
        <w:trPr>
          <w:trHeight w:val="1360"/>
        </w:trPr>
        <w:tc>
          <w:tcPr>
            <w:tcW w:w="2547" w:type="dxa"/>
            <w:gridSpan w:val="2"/>
            <w:vMerge/>
            <w:shd w:val="clear" w:color="auto" w:fill="auto"/>
            <w:noWrap/>
            <w:vAlign w:val="center"/>
          </w:tcPr>
          <w:p w14:paraId="7C107376" w14:textId="77777777" w:rsidR="00B622BB" w:rsidRPr="00C64260" w:rsidRDefault="00B622BB" w:rsidP="008C4682">
            <w:pPr>
              <w:spacing w:before="0" w:after="0"/>
              <w:jc w:val="center"/>
              <w:rPr>
                <w:rFonts w:eastAsia="Times New Roman" w:cs="Times New Roman"/>
                <w:color w:val="000000"/>
                <w:kern w:val="0"/>
                <w:sz w:val="24"/>
                <w:szCs w:val="24"/>
                <w14:ligatures w14:val="none"/>
              </w:rPr>
            </w:pPr>
          </w:p>
        </w:tc>
        <w:tc>
          <w:tcPr>
            <w:tcW w:w="8647" w:type="dxa"/>
            <w:shd w:val="clear" w:color="auto" w:fill="auto"/>
            <w:vAlign w:val="center"/>
          </w:tcPr>
          <w:p w14:paraId="1E2A75C6" w14:textId="5F278F1B" w:rsidR="00B622BB" w:rsidRPr="00C64260" w:rsidRDefault="00B622BB" w:rsidP="00C64260">
            <w:pPr>
              <w:spacing w:before="0" w:after="0"/>
              <w:rPr>
                <w:rFonts w:cs="Times New Roman"/>
                <w:sz w:val="24"/>
                <w:szCs w:val="24"/>
              </w:rPr>
            </w:pPr>
            <w:r w:rsidRPr="00C64260">
              <w:rPr>
                <w:rStyle w:val="normaltextrun"/>
                <w:rFonts w:cs="Times New Roman"/>
                <w:color w:val="000000"/>
                <w:sz w:val="24"/>
                <w:szCs w:val="24"/>
                <w:shd w:val="clear" w:color="auto" w:fill="FFFFFF"/>
              </w:rPr>
              <w:t>T</w:t>
            </w:r>
            <w:r w:rsidRPr="00C64260">
              <w:rPr>
                <w:rStyle w:val="normaltextrun"/>
                <w:rFonts w:cs="Times New Roman"/>
                <w:color w:val="000000"/>
                <w:sz w:val="24"/>
                <w:szCs w:val="24"/>
                <w:shd w:val="clear" w:color="auto" w:fill="FFFFFF"/>
                <w:lang w:val="vi-VN"/>
              </w:rPr>
              <w:t>ại Điều 8a, đề nghị bổ sung thêm điều khoản trong đó quy định rõ trách nhiệm của cơ quan/tổ chức/cá nhân có thẩm quyền trong quá trình tổ chức lựa chọn nhà đầu tư.</w:t>
            </w:r>
            <w:r w:rsidRPr="00C64260">
              <w:rPr>
                <w:rStyle w:val="eop"/>
                <w:rFonts w:cs="Times New Roman"/>
                <w:color w:val="000000"/>
                <w:sz w:val="24"/>
                <w:szCs w:val="24"/>
                <w:shd w:val="clear" w:color="auto" w:fill="FFFFFF"/>
              </w:rPr>
              <w:t> </w:t>
            </w:r>
          </w:p>
        </w:tc>
        <w:tc>
          <w:tcPr>
            <w:tcW w:w="1842" w:type="dxa"/>
            <w:shd w:val="clear" w:color="auto" w:fill="auto"/>
            <w:vAlign w:val="center"/>
          </w:tcPr>
          <w:p w14:paraId="5DF4E2CD" w14:textId="348B7C11"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V</w:t>
            </w:r>
            <w:r w:rsidRPr="00C64260">
              <w:rPr>
                <w:rFonts w:eastAsia="Times New Roman" w:cs="Times New Roman"/>
                <w:kern w:val="0"/>
                <w:sz w:val="24"/>
                <w:szCs w:val="24"/>
                <w14:ligatures w14:val="none"/>
              </w:rPr>
              <w:t>iện Chiến lược và phát triển</w:t>
            </w:r>
          </w:p>
        </w:tc>
        <w:tc>
          <w:tcPr>
            <w:tcW w:w="2694" w:type="dxa"/>
            <w:shd w:val="clear" w:color="auto" w:fill="auto"/>
            <w:noWrap/>
            <w:vAlign w:val="center"/>
          </w:tcPr>
          <w:p w14:paraId="16ADC351" w14:textId="0A32C1EE" w:rsidR="00B622BB" w:rsidRPr="00C64260" w:rsidRDefault="006343E0"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Nội dung này đã được chỉnh sửa tại dự thảo.</w:t>
            </w:r>
          </w:p>
        </w:tc>
      </w:tr>
      <w:tr w:rsidR="00B622BB" w:rsidRPr="00C64260" w14:paraId="1BC3CCBF" w14:textId="77777777" w:rsidTr="00BB2F5C">
        <w:trPr>
          <w:trHeight w:val="1360"/>
        </w:trPr>
        <w:tc>
          <w:tcPr>
            <w:tcW w:w="2547" w:type="dxa"/>
            <w:gridSpan w:val="2"/>
            <w:vMerge/>
            <w:shd w:val="clear" w:color="auto" w:fill="auto"/>
            <w:noWrap/>
            <w:vAlign w:val="center"/>
          </w:tcPr>
          <w:p w14:paraId="5503C863" w14:textId="77777777" w:rsidR="00B622BB" w:rsidRPr="00C64260" w:rsidRDefault="00B622BB" w:rsidP="008C4682">
            <w:pPr>
              <w:spacing w:before="0" w:after="0"/>
              <w:jc w:val="center"/>
              <w:rPr>
                <w:rFonts w:eastAsia="Times New Roman" w:cs="Times New Roman"/>
                <w:color w:val="000000"/>
                <w:kern w:val="0"/>
                <w:sz w:val="24"/>
                <w:szCs w:val="24"/>
                <w14:ligatures w14:val="none"/>
              </w:rPr>
            </w:pPr>
          </w:p>
        </w:tc>
        <w:tc>
          <w:tcPr>
            <w:tcW w:w="8647" w:type="dxa"/>
            <w:shd w:val="clear" w:color="auto" w:fill="auto"/>
            <w:vAlign w:val="center"/>
          </w:tcPr>
          <w:p w14:paraId="0D2B55A2" w14:textId="5CFAFF69" w:rsidR="00B622BB" w:rsidRPr="00C64260" w:rsidRDefault="00B622BB" w:rsidP="00C64260">
            <w:pPr>
              <w:spacing w:before="0" w:after="0"/>
              <w:rPr>
                <w:rStyle w:val="normaltextrun"/>
                <w:rFonts w:cs="Times New Roman"/>
                <w:color w:val="000000"/>
                <w:sz w:val="24"/>
                <w:szCs w:val="24"/>
                <w:shd w:val="clear" w:color="auto" w:fill="FFFFFF"/>
              </w:rPr>
            </w:pPr>
            <w:r w:rsidRPr="00C64260">
              <w:rPr>
                <w:rFonts w:cs="Times New Roman"/>
                <w:sz w:val="24"/>
                <w:szCs w:val="24"/>
              </w:rPr>
              <w:t>Đề nghị rà soát các điều khoản của Luật Đấu thầu (được sửa đổi, bổ sung sung năm 2024) mà Dự thảo viện dẫn tại các Điều 8a và Điều 8b sẽ bổ sung vào Nghị định số 23/2024/NĐ-CP ngày 27/02/2024; Điều 9a và Điều 9b sẽ bổ sung vào Nghị định số 115/2024/NĐ-CP ngày 16/9/2024 cho phù hợp</w:t>
            </w:r>
          </w:p>
        </w:tc>
        <w:tc>
          <w:tcPr>
            <w:tcW w:w="1842" w:type="dxa"/>
            <w:shd w:val="clear" w:color="auto" w:fill="auto"/>
            <w:vAlign w:val="center"/>
          </w:tcPr>
          <w:p w14:paraId="5280EF42" w14:textId="7D79CC80"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Sở Kế hoạch và Đầu tư tỉnh Phú Yên</w:t>
            </w:r>
          </w:p>
        </w:tc>
        <w:tc>
          <w:tcPr>
            <w:tcW w:w="2694" w:type="dxa"/>
            <w:shd w:val="clear" w:color="auto" w:fill="auto"/>
            <w:noWrap/>
            <w:vAlign w:val="center"/>
          </w:tcPr>
          <w:p w14:paraId="376794CA" w14:textId="05D72A94" w:rsidR="00B622BB" w:rsidRPr="00C64260" w:rsidRDefault="006343E0"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Tiếp thu, Bộ KH&amp;ĐT đã hoàn thiện tại dự thảo Nghị định.</w:t>
            </w:r>
          </w:p>
        </w:tc>
      </w:tr>
      <w:tr w:rsidR="00E45979" w:rsidRPr="00C64260" w14:paraId="344CF076" w14:textId="77777777" w:rsidTr="00BB2F5C">
        <w:trPr>
          <w:trHeight w:val="1360"/>
        </w:trPr>
        <w:tc>
          <w:tcPr>
            <w:tcW w:w="2547" w:type="dxa"/>
            <w:gridSpan w:val="2"/>
            <w:vMerge w:val="restart"/>
            <w:shd w:val="clear" w:color="auto" w:fill="auto"/>
            <w:noWrap/>
            <w:vAlign w:val="center"/>
            <w:hideMark/>
          </w:tcPr>
          <w:p w14:paraId="41971663" w14:textId="6F52EF3D" w:rsidR="00E45979" w:rsidRPr="00C64260" w:rsidRDefault="00E45979" w:rsidP="008C4682">
            <w:pPr>
              <w:spacing w:before="0" w:after="0"/>
              <w:jc w:val="center"/>
              <w:rPr>
                <w:rFonts w:eastAsia="Times New Roman" w:cs="Times New Roman"/>
                <w:color w:val="000000"/>
                <w:kern w:val="0"/>
                <w:sz w:val="24"/>
                <w:szCs w:val="24"/>
                <w14:ligatures w14:val="none"/>
              </w:rPr>
            </w:pPr>
          </w:p>
          <w:p w14:paraId="071AD21B" w14:textId="5BB0DFE9" w:rsidR="00E45979" w:rsidRPr="00C64260" w:rsidRDefault="00E45979" w:rsidP="008C4682">
            <w:pPr>
              <w:spacing w:before="0" w:after="0"/>
              <w:jc w:val="center"/>
              <w:rPr>
                <w:rFonts w:eastAsia="Times New Roman" w:cs="Times New Roman"/>
                <w:color w:val="000000"/>
                <w:kern w:val="0"/>
                <w:sz w:val="24"/>
                <w:szCs w:val="24"/>
                <w14:ligatures w14:val="none"/>
              </w:rPr>
            </w:pPr>
          </w:p>
          <w:p w14:paraId="37B7F692" w14:textId="5C42BB5D" w:rsidR="00E45979" w:rsidRPr="00C64260" w:rsidRDefault="00E45979" w:rsidP="008C4682">
            <w:pPr>
              <w:spacing w:before="0" w:after="0"/>
              <w:jc w:val="center"/>
              <w:rPr>
                <w:rFonts w:eastAsia="Times New Roman" w:cs="Times New Roman"/>
                <w:b/>
                <w:bCs/>
                <w:color w:val="000000"/>
                <w:kern w:val="0"/>
                <w:sz w:val="24"/>
                <w:szCs w:val="24"/>
                <w14:ligatures w14:val="none"/>
              </w:rPr>
            </w:pPr>
            <w:r w:rsidRPr="00C64260">
              <w:rPr>
                <w:rFonts w:eastAsia="Times New Roman" w:cs="Times New Roman"/>
                <w:b/>
                <w:bCs/>
                <w:color w:val="000000"/>
                <w:kern w:val="0"/>
                <w:sz w:val="24"/>
                <w:szCs w:val="24"/>
                <w14:ligatures w14:val="none"/>
              </w:rPr>
              <w:t>Điều 4</w:t>
            </w:r>
          </w:p>
          <w:p w14:paraId="25DB23C5" w14:textId="277B06F9" w:rsidR="00E45979" w:rsidRPr="00C64260" w:rsidRDefault="00E45979" w:rsidP="008C4682">
            <w:pPr>
              <w:spacing w:before="0" w:after="0"/>
              <w:jc w:val="center"/>
              <w:rPr>
                <w:rFonts w:eastAsia="Times New Roman" w:cs="Times New Roman"/>
                <w:color w:val="000000"/>
                <w:kern w:val="0"/>
                <w:sz w:val="24"/>
                <w:szCs w:val="24"/>
                <w14:ligatures w14:val="none"/>
              </w:rPr>
            </w:pPr>
            <w:r w:rsidRPr="00C64260">
              <w:rPr>
                <w:rFonts w:eastAsia="Times New Roman" w:cs="Times New Roman"/>
                <w:b/>
                <w:bCs/>
                <w:color w:val="000000"/>
                <w:kern w:val="0"/>
                <w:sz w:val="24"/>
                <w:szCs w:val="24"/>
                <w14:ligatures w14:val="none"/>
              </w:rPr>
              <w:t>(Bổ sung điều 9a và 9b sau Điều 9 Nghị định số 115/2024/NĐ-CP ngày 16/9/2024)</w:t>
            </w:r>
          </w:p>
        </w:tc>
        <w:tc>
          <w:tcPr>
            <w:tcW w:w="8647" w:type="dxa"/>
            <w:shd w:val="clear" w:color="auto" w:fill="auto"/>
            <w:vAlign w:val="center"/>
            <w:hideMark/>
          </w:tcPr>
          <w:p w14:paraId="7B1000BE" w14:textId="77777777" w:rsidR="00E45979" w:rsidRPr="00C64260" w:rsidRDefault="00E45979"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Tại Điều 4 của dự thảo Nghị định quy định: Bổ sung Điều 9a và 9b sau Điều 9 Nghị định số 115/2024/NĐ-CP ngày 16/9/2024 như sau:</w:t>
            </w:r>
          </w:p>
          <w:p w14:paraId="2FF983CB" w14:textId="77777777" w:rsidR="00E45979" w:rsidRPr="00C64260" w:rsidRDefault="00E45979"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 xml:space="preserve">“Điều 9a. Hồ sơ, quy trình, thủ tục lựa chọn nhà đầu tư trong trường hợp đặc biệt đối với trường hợp quy định tại điểm a và điểm b khoản 3 Điều 34 của Luật Đấu thầu (được sửa đổi, bổ sung năm </w:t>
            </w:r>
            <w:proofErr w:type="gramStart"/>
            <w:r w:rsidRPr="00C64260">
              <w:rPr>
                <w:rFonts w:eastAsia="Times New Roman" w:cs="Times New Roman"/>
                <w:color w:val="000000"/>
                <w:kern w:val="0"/>
                <w:sz w:val="24"/>
                <w:szCs w:val="24"/>
                <w14:ligatures w14:val="none"/>
              </w:rPr>
              <w:t>2024)...</w:t>
            </w:r>
            <w:proofErr w:type="gramEnd"/>
          </w:p>
          <w:p w14:paraId="1241C583" w14:textId="77777777" w:rsidR="00E45979" w:rsidRPr="00C64260" w:rsidRDefault="00E45979"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 xml:space="preserve">Điều 9b. Hồ sơ, quy trình, thủ tục lựa chọn nhà đầu tư trong trường hợp đặc biệt đối với trường hợp quy định tại điểm c khoản 3 Điều 34 của Luật Đấu thầu (được sửa đổi, bổ sung năm </w:t>
            </w:r>
            <w:proofErr w:type="gramStart"/>
            <w:r w:rsidRPr="00C64260">
              <w:rPr>
                <w:rFonts w:eastAsia="Times New Roman" w:cs="Times New Roman"/>
                <w:color w:val="000000"/>
                <w:kern w:val="0"/>
                <w:sz w:val="24"/>
                <w:szCs w:val="24"/>
                <w14:ligatures w14:val="none"/>
              </w:rPr>
              <w:t>2024)...</w:t>
            </w:r>
            <w:proofErr w:type="gramEnd"/>
            <w:r w:rsidRPr="00C64260">
              <w:rPr>
                <w:rFonts w:eastAsia="Times New Roman" w:cs="Times New Roman"/>
                <w:color w:val="000000"/>
                <w:kern w:val="0"/>
                <w:sz w:val="24"/>
                <w:szCs w:val="24"/>
                <w14:ligatures w14:val="none"/>
              </w:rPr>
              <w:t>"</w:t>
            </w:r>
          </w:p>
          <w:p w14:paraId="0042E000" w14:textId="77777777" w:rsidR="00E45979" w:rsidRPr="00C64260" w:rsidRDefault="00E45979"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Tuy nhiên, tại khoản 11, khoản 12 Điều 4 của dự thảo Luật sửa đổi, bổ sung một số điều của Luật Quy hoạch, Luật Đầu tư, Luật Đầu tư theo phương thức đối tác công tư và Luật Đấu thầu (gửi kèm theo Công văn số 9337/BKHĐT- QLĐT) chỉ bổ sung thêm khoản 3 vào sau khoản 2 Điều 34, Điều 34a vào sau Điều 34 mà không bổ sung khoản 3 Điều 34 gồm các điểm a, b, c.</w:t>
            </w:r>
          </w:p>
          <w:p w14:paraId="62F80C5D" w14:textId="20981653" w:rsidR="00E45979" w:rsidRPr="00C64260" w:rsidRDefault="00E45979"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Do đó đề nghị Bộ Kế hoạch và Đầu tư xem xét, chỉnh sửa lại nội dung quy định trên cho phù hợp giữa dự thảo Luật và dự thảo Nghị định.</w:t>
            </w:r>
          </w:p>
        </w:tc>
        <w:tc>
          <w:tcPr>
            <w:tcW w:w="1842" w:type="dxa"/>
            <w:shd w:val="clear" w:color="auto" w:fill="auto"/>
            <w:vAlign w:val="center"/>
            <w:hideMark/>
          </w:tcPr>
          <w:p w14:paraId="60FF36C8" w14:textId="021FFED3" w:rsidR="00E45979" w:rsidRPr="00C64260" w:rsidRDefault="00E45979"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Ủy Ban nhân dân tỉnh Lai Châu</w:t>
            </w:r>
          </w:p>
        </w:tc>
        <w:tc>
          <w:tcPr>
            <w:tcW w:w="2694" w:type="dxa"/>
            <w:shd w:val="clear" w:color="auto" w:fill="auto"/>
            <w:noWrap/>
            <w:vAlign w:val="center"/>
            <w:hideMark/>
          </w:tcPr>
          <w:p w14:paraId="39E57F2F" w14:textId="0FD2FB2E" w:rsidR="00E45979" w:rsidRPr="00C64260" w:rsidRDefault="00E45979"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 </w:t>
            </w:r>
            <w:r w:rsidR="008D4152" w:rsidRPr="00C64260">
              <w:rPr>
                <w:rFonts w:eastAsia="Times New Roman" w:cs="Times New Roman"/>
                <w:color w:val="000000"/>
                <w:kern w:val="0"/>
                <w:sz w:val="24"/>
                <w:szCs w:val="24"/>
                <w14:ligatures w14:val="none"/>
              </w:rPr>
              <w:t xml:space="preserve"> Tiếp thu, Bộ KH&amp;ĐT đã hoàn thiện tại dự thảo Nghị định, bảo đảm tuân thủ quy định tại Điều 34a Luật Đấu thầu.</w:t>
            </w:r>
          </w:p>
        </w:tc>
      </w:tr>
      <w:tr w:rsidR="00E45979" w:rsidRPr="00C64260" w14:paraId="75FFBD7E" w14:textId="77777777" w:rsidTr="00F24307">
        <w:trPr>
          <w:trHeight w:val="697"/>
        </w:trPr>
        <w:tc>
          <w:tcPr>
            <w:tcW w:w="2547" w:type="dxa"/>
            <w:gridSpan w:val="2"/>
            <w:vMerge/>
            <w:shd w:val="clear" w:color="auto" w:fill="auto"/>
            <w:noWrap/>
            <w:vAlign w:val="center"/>
            <w:hideMark/>
          </w:tcPr>
          <w:p w14:paraId="6AA60DD2" w14:textId="77777777" w:rsidR="00E45979" w:rsidRPr="00C64260" w:rsidRDefault="00E45979" w:rsidP="008C4682">
            <w:pPr>
              <w:spacing w:before="0" w:after="0"/>
              <w:jc w:val="center"/>
              <w:rPr>
                <w:rFonts w:eastAsia="Times New Roman" w:cs="Times New Roman"/>
                <w:color w:val="000000"/>
                <w:kern w:val="0"/>
                <w:sz w:val="24"/>
                <w:szCs w:val="24"/>
                <w14:ligatures w14:val="none"/>
              </w:rPr>
            </w:pPr>
          </w:p>
        </w:tc>
        <w:tc>
          <w:tcPr>
            <w:tcW w:w="8647" w:type="dxa"/>
            <w:shd w:val="clear" w:color="auto" w:fill="auto"/>
            <w:vAlign w:val="center"/>
            <w:hideMark/>
          </w:tcPr>
          <w:p w14:paraId="68EA35CD" w14:textId="77777777" w:rsidR="00F243F6" w:rsidRPr="00C64260" w:rsidRDefault="00F243F6"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Hồ sơ, quy trình, thủ tục lựa chọn nhà đầu tư trong trường hợp đặc biệt đối với trường hợp quy định tại điểm a và b khoản 3 Điều 34 của Luật Đấu thầu (được sửa đổi, bổ sung năm 2024) và (ii) Bổ sung Điều 8b. Hồ sơ, quy trình, thủ tục lựa chọn nhà đầu tư trong trường hợp đặc biệt đối với trường hợp quy định tại điểm c khoản 3 Điều 34 của Luật Đấu thầu (được sửa đổi, bổ sung năm 2024). Đồng thời tại Điều 4. Sửa đổi, bổ sung một số điều của Nghị định số 115/2024/NĐ-CP ngày 16 tháng 9 năm 2024 của Chính phủ quy định chi tiết một số điều và biện pháp thi hành Luật Đấu thầu về lựa chọn nhà đầu tư thực hiện dự án đầu tư có sử dụng đất có quy định: (iii) Bổ sung Điều 9a. Hồ sơ, quy trình, thủ tục lựa chọn nhà đầu tư trong trường hợp đặc biệt đối với trường hợp quy định tại điểm a và b khoản 3 Điều 34 của Luật Đấu thầu (được sửa đổi, bổ sung năm 2024) và (iv) Bổ sung Điều 9b. Hồ sơ, quy trình, thủ tục lựa chọn nhà đầu tư trong trường hợp đặc biệt đối với trường hợp quy định tại điểm c khoản 3 Điều 34 của Luật Đấu thầu (được sửa đổi, bổ sung năm 2024).</w:t>
            </w:r>
          </w:p>
          <w:p w14:paraId="7F6D23B3" w14:textId="7C1EF879" w:rsidR="00E45979" w:rsidRPr="00C64260" w:rsidRDefault="00F243F6"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 xml:space="preserve">Tuy nhiên, tại dự thảo Luật được gửi kèm theo văn bản số 9337/BKHĐT-QLĐT ngày 12/11/2024 quy định bổ sung khoản “3. Lựa chọn nhà đầu tư trong trường hợp đặc biệt” vào Điều 34 Luật Đấu thầu năm 2023 và tại khoán 3 không có quy định nội dung các </w:t>
            </w:r>
            <w:r w:rsidRPr="00C64260">
              <w:rPr>
                <w:rFonts w:eastAsia="Times New Roman" w:cs="Times New Roman"/>
                <w:color w:val="000000"/>
                <w:kern w:val="0"/>
                <w:sz w:val="24"/>
                <w:szCs w:val="24"/>
                <w14:ligatures w14:val="none"/>
              </w:rPr>
              <w:lastRenderedPageBreak/>
              <w:t>điểm a, b, c như dự thảo Nghị định nêu, đồng thời tại Điều 34 cũng không giao Chính Phủ quy định chi tiết. Mặt khác, tại dự thảo Luật có bổ sung Điều 34a. Lựa chọn nhà đầu tư trong trường hợp đặc biệt; tại khoản 3 Điều 34a có giao Chính phủ quy định chi tiết hồ sơ, trình tự, thủ tục lựa chọn nhà đầu tư trong trường hợp đặc biệt. Do vậy, đề nghị Cục Quản lý đầu thầu rà soát lại nội dung và việc trích dẫn các điều, khoản để quy định chi tiết đúng với dự thảo Luật.</w:t>
            </w:r>
          </w:p>
        </w:tc>
        <w:tc>
          <w:tcPr>
            <w:tcW w:w="1842" w:type="dxa"/>
            <w:shd w:val="clear" w:color="auto" w:fill="auto"/>
            <w:vAlign w:val="center"/>
            <w:hideMark/>
          </w:tcPr>
          <w:p w14:paraId="18FF983E" w14:textId="26AF007A" w:rsidR="00E45979" w:rsidRPr="00C64260" w:rsidRDefault="00F243F6"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lastRenderedPageBreak/>
              <w:t>Vụ Quản lý quy hoạch</w:t>
            </w:r>
          </w:p>
        </w:tc>
        <w:tc>
          <w:tcPr>
            <w:tcW w:w="2694" w:type="dxa"/>
            <w:shd w:val="clear" w:color="auto" w:fill="auto"/>
            <w:noWrap/>
            <w:vAlign w:val="center"/>
            <w:hideMark/>
          </w:tcPr>
          <w:p w14:paraId="20805313" w14:textId="4B08EE7E" w:rsidR="00E45979" w:rsidRPr="00C64260" w:rsidRDefault="00E45979"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 </w:t>
            </w:r>
            <w:r w:rsidR="00423091" w:rsidRPr="00C64260">
              <w:rPr>
                <w:rFonts w:eastAsia="Times New Roman" w:cs="Times New Roman"/>
                <w:color w:val="000000"/>
                <w:kern w:val="0"/>
                <w:sz w:val="24"/>
                <w:szCs w:val="24"/>
                <w14:ligatures w14:val="none"/>
              </w:rPr>
              <w:t xml:space="preserve"> Tiếp thu, Bộ KH&amp;ĐT đã hoàn thiện tại dự thảo Nghị định, bảo đảm tuân thủ quy định tại Điều 34a Luật Đấu thầu.</w:t>
            </w:r>
          </w:p>
        </w:tc>
      </w:tr>
      <w:tr w:rsidR="00B622BB" w:rsidRPr="00C64260" w14:paraId="5B233909" w14:textId="77777777" w:rsidTr="00BB2F5C">
        <w:trPr>
          <w:trHeight w:val="2350"/>
        </w:trPr>
        <w:tc>
          <w:tcPr>
            <w:tcW w:w="2547" w:type="dxa"/>
            <w:gridSpan w:val="2"/>
            <w:vMerge w:val="restart"/>
            <w:shd w:val="clear" w:color="auto" w:fill="auto"/>
            <w:noWrap/>
            <w:vAlign w:val="center"/>
          </w:tcPr>
          <w:p w14:paraId="3B0F0C90" w14:textId="77777777" w:rsidR="00B622BB" w:rsidRPr="00C64260" w:rsidRDefault="00B622BB" w:rsidP="008C4682">
            <w:pPr>
              <w:spacing w:before="0" w:after="0"/>
              <w:jc w:val="center"/>
              <w:rPr>
                <w:rFonts w:eastAsia="Times New Roman" w:cs="Times New Roman"/>
                <w:color w:val="000000"/>
                <w:kern w:val="0"/>
                <w:sz w:val="24"/>
                <w:szCs w:val="24"/>
                <w14:ligatures w14:val="none"/>
              </w:rPr>
            </w:pPr>
          </w:p>
        </w:tc>
        <w:tc>
          <w:tcPr>
            <w:tcW w:w="8647" w:type="dxa"/>
            <w:shd w:val="clear" w:color="auto" w:fill="auto"/>
            <w:vAlign w:val="center"/>
          </w:tcPr>
          <w:p w14:paraId="4B61D6F7" w14:textId="2FA25D67"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cs="Times New Roman"/>
                <w:sz w:val="24"/>
                <w:szCs w:val="24"/>
              </w:rPr>
              <w:t>Khoản 2 (bổ sung Điều 43a), đề nghị: (1) rà soát, điều chỉnh thuật ngữ “dự án” thành “dự án đầu tư kinh doanh” để thống nhất với đối tượng áp dụng tại Điều 2 Luật Đấu thầu năm 2023; (2) rà soát, bổ sung nội dung “mà không thể áp dụng được một trong các hình thức lựa chọn nhà đầu tư quy định tại khoản 1 và khoản 2 Điều 34 của Luật này” để phù hợp với quy định khoản 12 Điều 4 Luật sửa đổi, bổ sung 4 luật (bổ sung Điều 34a); (3) việc quy định tại điểm d khoản 1 Điều 43a đã bao gồm các trường hợp tại khoản 2 Điều 43a, do đó cần rà soát để quy định phù hợp, phân định rõ trường hợp thuộc thẩm quyền của Thủ tướng Chính phủ hay của cơ quan có thẩm quyền khác. Bên cạnh đó, rà soát lại việc quy định là cơ quan có thẩm quyền hay là người có thẩm quyền.</w:t>
            </w:r>
          </w:p>
        </w:tc>
        <w:tc>
          <w:tcPr>
            <w:tcW w:w="1842" w:type="dxa"/>
            <w:shd w:val="clear" w:color="auto" w:fill="auto"/>
            <w:vAlign w:val="center"/>
          </w:tcPr>
          <w:p w14:paraId="038095BB" w14:textId="1B7F61FA"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Thanh tra Bộ</w:t>
            </w:r>
          </w:p>
        </w:tc>
        <w:tc>
          <w:tcPr>
            <w:tcW w:w="2694" w:type="dxa"/>
            <w:shd w:val="clear" w:color="auto" w:fill="auto"/>
            <w:noWrap/>
            <w:vAlign w:val="center"/>
          </w:tcPr>
          <w:p w14:paraId="76FCCBCC" w14:textId="5B281CA0" w:rsidR="00B622BB" w:rsidRPr="00C64260" w:rsidRDefault="00423091"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Tiếp thu, nội dung này đã được chỉnh sửa tại dự thảo Nghị định.</w:t>
            </w:r>
          </w:p>
        </w:tc>
      </w:tr>
      <w:tr w:rsidR="00B622BB" w:rsidRPr="00C64260" w14:paraId="4A456832" w14:textId="77777777" w:rsidTr="00BB2F5C">
        <w:trPr>
          <w:trHeight w:val="1102"/>
        </w:trPr>
        <w:tc>
          <w:tcPr>
            <w:tcW w:w="2547" w:type="dxa"/>
            <w:gridSpan w:val="2"/>
            <w:vMerge/>
            <w:shd w:val="clear" w:color="auto" w:fill="auto"/>
            <w:noWrap/>
            <w:vAlign w:val="center"/>
          </w:tcPr>
          <w:p w14:paraId="34F5E7EC" w14:textId="77777777" w:rsidR="00B622BB" w:rsidRPr="00C64260" w:rsidRDefault="00B622BB" w:rsidP="008C4682">
            <w:pPr>
              <w:spacing w:before="0" w:after="0"/>
              <w:jc w:val="center"/>
              <w:rPr>
                <w:rFonts w:eastAsia="Times New Roman" w:cs="Times New Roman"/>
                <w:color w:val="000000"/>
                <w:kern w:val="0"/>
                <w:sz w:val="24"/>
                <w:szCs w:val="24"/>
                <w14:ligatures w14:val="none"/>
              </w:rPr>
            </w:pPr>
          </w:p>
        </w:tc>
        <w:tc>
          <w:tcPr>
            <w:tcW w:w="8647" w:type="dxa"/>
            <w:shd w:val="clear" w:color="auto" w:fill="auto"/>
            <w:vAlign w:val="center"/>
          </w:tcPr>
          <w:p w14:paraId="742B0F0B" w14:textId="77777777" w:rsidR="00B622BB" w:rsidRPr="00C64260" w:rsidRDefault="00B622BB" w:rsidP="00C64260">
            <w:pPr>
              <w:spacing w:before="0" w:after="0"/>
              <w:rPr>
                <w:rFonts w:cs="Times New Roman"/>
                <w:sz w:val="24"/>
                <w:szCs w:val="24"/>
              </w:rPr>
            </w:pPr>
          </w:p>
          <w:p w14:paraId="58CF2B57" w14:textId="319D6593" w:rsidR="00B622BB" w:rsidRPr="00C64260" w:rsidRDefault="00B622BB" w:rsidP="00C64260">
            <w:pPr>
              <w:spacing w:before="0" w:after="0"/>
              <w:rPr>
                <w:rFonts w:cs="Times New Roman"/>
                <w:sz w:val="24"/>
                <w:szCs w:val="24"/>
              </w:rPr>
            </w:pPr>
            <w:r w:rsidRPr="00C64260">
              <w:rPr>
                <w:rFonts w:cs="Times New Roman"/>
                <w:sz w:val="24"/>
                <w:szCs w:val="24"/>
              </w:rPr>
              <w:t>- Tại khoản 3 và khoản 4 Điều 44b cần làm rõ hồ sơ hợp lệ theo quy định tại khoản 2 hay khoản 3 Điều 43b?</w:t>
            </w:r>
          </w:p>
        </w:tc>
        <w:tc>
          <w:tcPr>
            <w:tcW w:w="1842" w:type="dxa"/>
            <w:shd w:val="clear" w:color="auto" w:fill="auto"/>
            <w:vAlign w:val="center"/>
          </w:tcPr>
          <w:p w14:paraId="1EBE83F2" w14:textId="2B0F8E92"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Bộ Tư pháp</w:t>
            </w:r>
          </w:p>
        </w:tc>
        <w:tc>
          <w:tcPr>
            <w:tcW w:w="2694" w:type="dxa"/>
            <w:shd w:val="clear" w:color="auto" w:fill="auto"/>
            <w:noWrap/>
            <w:vAlign w:val="center"/>
          </w:tcPr>
          <w:p w14:paraId="0DD89E81" w14:textId="21A6E07F" w:rsidR="00B622BB" w:rsidRPr="00C64260" w:rsidRDefault="00423091"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Nội dung này kế thừa quy định tại Nghị định số 24/2024/NĐ-CP. Bộ Kế hoạch và Đầu tư đề nghị giữ nguyên như dự thảo.</w:t>
            </w:r>
          </w:p>
        </w:tc>
      </w:tr>
      <w:tr w:rsidR="00B622BB" w:rsidRPr="00C64260" w14:paraId="25C2C395" w14:textId="77777777" w:rsidTr="00BB2F5C">
        <w:trPr>
          <w:trHeight w:val="1408"/>
        </w:trPr>
        <w:tc>
          <w:tcPr>
            <w:tcW w:w="2547" w:type="dxa"/>
            <w:gridSpan w:val="2"/>
            <w:vMerge/>
            <w:shd w:val="clear" w:color="auto" w:fill="auto"/>
            <w:noWrap/>
            <w:vAlign w:val="center"/>
          </w:tcPr>
          <w:p w14:paraId="4018F144" w14:textId="77777777" w:rsidR="00B622BB" w:rsidRPr="00C64260" w:rsidRDefault="00B622BB" w:rsidP="008C4682">
            <w:pPr>
              <w:spacing w:before="0" w:after="0"/>
              <w:jc w:val="center"/>
              <w:rPr>
                <w:rFonts w:eastAsia="Times New Roman" w:cs="Times New Roman"/>
                <w:color w:val="000000"/>
                <w:kern w:val="0"/>
                <w:sz w:val="24"/>
                <w:szCs w:val="24"/>
                <w14:ligatures w14:val="none"/>
              </w:rPr>
            </w:pPr>
          </w:p>
        </w:tc>
        <w:tc>
          <w:tcPr>
            <w:tcW w:w="8647" w:type="dxa"/>
            <w:shd w:val="clear" w:color="auto" w:fill="auto"/>
            <w:vAlign w:val="center"/>
          </w:tcPr>
          <w:p w14:paraId="17EC83B0" w14:textId="2BAED064" w:rsidR="00B622BB" w:rsidRPr="00C64260" w:rsidRDefault="00B622BB" w:rsidP="00C64260">
            <w:pPr>
              <w:spacing w:before="0" w:after="0"/>
              <w:rPr>
                <w:rFonts w:cs="Times New Roman"/>
                <w:sz w:val="24"/>
                <w:szCs w:val="24"/>
              </w:rPr>
            </w:pPr>
            <w:r w:rsidRPr="00C64260">
              <w:rPr>
                <w:rFonts w:cs="Times New Roman"/>
                <w:sz w:val="24"/>
                <w:szCs w:val="24"/>
              </w:rPr>
              <w:t>Tại Điều 9a, bổ sung điều khoản, trong đó quy định rõ trách nhiệm của cơ quan/tổ chức/cá nhân có thẩm quyền trong quá trình tổ chức lựa chọn nhà đầu tư.</w:t>
            </w:r>
          </w:p>
        </w:tc>
        <w:tc>
          <w:tcPr>
            <w:tcW w:w="1842" w:type="dxa"/>
            <w:shd w:val="clear" w:color="auto" w:fill="auto"/>
            <w:vAlign w:val="center"/>
          </w:tcPr>
          <w:p w14:paraId="6784C370" w14:textId="3D7BFF24"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Viện Chiến lược và Phát triển</w:t>
            </w:r>
          </w:p>
        </w:tc>
        <w:tc>
          <w:tcPr>
            <w:tcW w:w="2694" w:type="dxa"/>
            <w:shd w:val="clear" w:color="auto" w:fill="auto"/>
            <w:noWrap/>
            <w:vAlign w:val="center"/>
          </w:tcPr>
          <w:p w14:paraId="6B4A8AFC" w14:textId="77777777" w:rsidR="00B622BB" w:rsidRPr="00C64260" w:rsidRDefault="00B622BB" w:rsidP="00C64260">
            <w:pPr>
              <w:spacing w:before="0" w:after="0"/>
              <w:rPr>
                <w:rFonts w:eastAsia="Times New Roman" w:cs="Times New Roman"/>
                <w:color w:val="000000"/>
                <w:kern w:val="0"/>
                <w:sz w:val="24"/>
                <w:szCs w:val="24"/>
                <w14:ligatures w14:val="none"/>
              </w:rPr>
            </w:pPr>
          </w:p>
        </w:tc>
      </w:tr>
      <w:tr w:rsidR="00B622BB" w:rsidRPr="00C64260" w14:paraId="2431E401" w14:textId="77777777" w:rsidTr="00BB2F5C">
        <w:trPr>
          <w:trHeight w:val="1260"/>
        </w:trPr>
        <w:tc>
          <w:tcPr>
            <w:tcW w:w="2547" w:type="dxa"/>
            <w:gridSpan w:val="2"/>
            <w:vMerge/>
            <w:shd w:val="clear" w:color="auto" w:fill="auto"/>
            <w:noWrap/>
            <w:vAlign w:val="center"/>
          </w:tcPr>
          <w:p w14:paraId="51BEB394" w14:textId="77777777" w:rsidR="00B622BB" w:rsidRPr="00C64260" w:rsidRDefault="00B622BB" w:rsidP="008C4682">
            <w:pPr>
              <w:spacing w:before="0" w:after="0"/>
              <w:jc w:val="center"/>
              <w:rPr>
                <w:rFonts w:eastAsia="Times New Roman" w:cs="Times New Roman"/>
                <w:color w:val="000000"/>
                <w:kern w:val="0"/>
                <w:sz w:val="24"/>
                <w:szCs w:val="24"/>
                <w14:ligatures w14:val="none"/>
              </w:rPr>
            </w:pPr>
          </w:p>
        </w:tc>
        <w:tc>
          <w:tcPr>
            <w:tcW w:w="8647" w:type="dxa"/>
            <w:shd w:val="clear" w:color="auto" w:fill="auto"/>
            <w:vAlign w:val="center"/>
          </w:tcPr>
          <w:p w14:paraId="1BFC28FB" w14:textId="7884CB92" w:rsidR="00B622BB" w:rsidRPr="00C64260" w:rsidRDefault="00B622BB" w:rsidP="00C64260">
            <w:pPr>
              <w:spacing w:before="0" w:after="0"/>
              <w:rPr>
                <w:rFonts w:cs="Times New Roman"/>
                <w:sz w:val="24"/>
                <w:szCs w:val="24"/>
              </w:rPr>
            </w:pPr>
            <w:r w:rsidRPr="00C64260">
              <w:rPr>
                <w:rFonts w:cs="Times New Roman"/>
                <w:sz w:val="24"/>
                <w:szCs w:val="24"/>
              </w:rPr>
              <w:t>Đề nghị rà soát các điều khoản của Luật Đấu thầu (được sửa đổi, bổ sung sung năm 2024) mà Dự thảo viện dẫn tại các Điều 8a và Điều 8b sẽ bổ sung vào Nghị định số 23/2024/NĐ-CP ngày 27/02/2024; Điều 9a và Điều 9b sẽ bổ sung vào Nghị định số 115/2024/NĐ-CP ngày 16/9/2024 cho phù hợp</w:t>
            </w:r>
          </w:p>
        </w:tc>
        <w:tc>
          <w:tcPr>
            <w:tcW w:w="1842" w:type="dxa"/>
            <w:shd w:val="clear" w:color="auto" w:fill="auto"/>
            <w:vAlign w:val="center"/>
          </w:tcPr>
          <w:p w14:paraId="33BCF475" w14:textId="1647AAF4" w:rsidR="00B622BB" w:rsidRPr="00C64260" w:rsidRDefault="00B622BB"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Sở Kế hoạch và Đầu tư tỉnh Phú Yên</w:t>
            </w:r>
          </w:p>
        </w:tc>
        <w:tc>
          <w:tcPr>
            <w:tcW w:w="2694" w:type="dxa"/>
            <w:shd w:val="clear" w:color="auto" w:fill="auto"/>
            <w:noWrap/>
            <w:vAlign w:val="center"/>
          </w:tcPr>
          <w:p w14:paraId="72FB0D15" w14:textId="21C385D7" w:rsidR="00B622BB" w:rsidRPr="00C64260" w:rsidRDefault="00423091"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Nội dung này kế thừa quy định tại Nghị định số 24/2024/NĐ-CP. Bộ Kế hoạch và Đầu tư đề nghị giữ nguyên như dự thảo.</w:t>
            </w:r>
          </w:p>
        </w:tc>
      </w:tr>
      <w:tr w:rsidR="004C6CD9" w:rsidRPr="00C64260" w14:paraId="15C5480D" w14:textId="77777777" w:rsidTr="00C64260">
        <w:trPr>
          <w:trHeight w:val="54"/>
        </w:trPr>
        <w:tc>
          <w:tcPr>
            <w:tcW w:w="15730" w:type="dxa"/>
            <w:gridSpan w:val="5"/>
            <w:shd w:val="clear" w:color="auto" w:fill="auto"/>
            <w:noWrap/>
            <w:vAlign w:val="center"/>
          </w:tcPr>
          <w:p w14:paraId="6C01A289" w14:textId="32E62550" w:rsidR="004C6CD9" w:rsidRPr="00C64260" w:rsidRDefault="004C6CD9" w:rsidP="008C4682">
            <w:pPr>
              <w:spacing w:before="0" w:after="0"/>
              <w:jc w:val="center"/>
              <w:rPr>
                <w:rFonts w:eastAsia="Times New Roman" w:cs="Times New Roman"/>
                <w:color w:val="000000"/>
                <w:kern w:val="0"/>
                <w:sz w:val="24"/>
                <w:szCs w:val="24"/>
                <w14:ligatures w14:val="none"/>
              </w:rPr>
            </w:pPr>
            <w:r w:rsidRPr="00C64260">
              <w:rPr>
                <w:rFonts w:eastAsia="Times New Roman" w:cs="Times New Roman"/>
                <w:b/>
                <w:bCs/>
                <w:color w:val="000000"/>
                <w:kern w:val="0"/>
                <w:sz w:val="24"/>
                <w:szCs w:val="24"/>
                <w14:ligatures w14:val="none"/>
              </w:rPr>
              <w:t>II. Một số nội dung khác</w:t>
            </w:r>
          </w:p>
        </w:tc>
      </w:tr>
      <w:tr w:rsidR="004C6CD9" w:rsidRPr="00C64260" w14:paraId="5C772186" w14:textId="77777777" w:rsidTr="00BB2F5C">
        <w:trPr>
          <w:trHeight w:val="1359"/>
        </w:trPr>
        <w:tc>
          <w:tcPr>
            <w:tcW w:w="2547" w:type="dxa"/>
            <w:gridSpan w:val="2"/>
            <w:shd w:val="clear" w:color="auto" w:fill="auto"/>
            <w:noWrap/>
            <w:vAlign w:val="center"/>
          </w:tcPr>
          <w:p w14:paraId="1709E38D" w14:textId="1A624EF3" w:rsidR="004C6CD9" w:rsidRPr="00C64260" w:rsidRDefault="00894F54" w:rsidP="008C4682">
            <w:pPr>
              <w:spacing w:before="0" w:after="0"/>
              <w:jc w:val="center"/>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lastRenderedPageBreak/>
              <w:t>Giải thích từ ngữ</w:t>
            </w:r>
          </w:p>
        </w:tc>
        <w:tc>
          <w:tcPr>
            <w:tcW w:w="8647" w:type="dxa"/>
            <w:shd w:val="clear" w:color="auto" w:fill="auto"/>
            <w:vAlign w:val="center"/>
          </w:tcPr>
          <w:p w14:paraId="716B470D" w14:textId="764B3423" w:rsidR="004C6CD9" w:rsidRPr="00C64260" w:rsidRDefault="004C6CD9" w:rsidP="00C64260">
            <w:pPr>
              <w:spacing w:before="0" w:after="0"/>
              <w:rPr>
                <w:rFonts w:cs="Times New Roman"/>
                <w:sz w:val="24"/>
                <w:szCs w:val="24"/>
              </w:rPr>
            </w:pPr>
            <w:r w:rsidRPr="00C64260">
              <w:rPr>
                <w:rStyle w:val="normaltextrun"/>
                <w:rFonts w:cs="Times New Roman"/>
                <w:color w:val="000000"/>
                <w:sz w:val="24"/>
                <w:szCs w:val="24"/>
                <w:shd w:val="clear" w:color="auto" w:fill="FFFFFF"/>
                <w:lang w:val="vi-VN"/>
              </w:rPr>
              <w:t>Tại Điều 3, bổ sung một khoản, trong đó làm rõ khái niệm, thuật ngữ “đấu thầu dự án có sử dụng đất để lựa chọn nhà đầu tư”, “đấu giá quyền sử dụng đất” và “đấu thầu lựa chọn nhà thầu xây lắp công trình xây dựng”.</w:t>
            </w:r>
          </w:p>
        </w:tc>
        <w:tc>
          <w:tcPr>
            <w:tcW w:w="1842" w:type="dxa"/>
            <w:shd w:val="clear" w:color="auto" w:fill="auto"/>
            <w:vAlign w:val="center"/>
          </w:tcPr>
          <w:p w14:paraId="3B91ABB8" w14:textId="33AB2B8D" w:rsidR="004C6CD9" w:rsidRPr="00C64260" w:rsidRDefault="004C6CD9"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Viện Chiến lược và Phát triển</w:t>
            </w:r>
          </w:p>
        </w:tc>
        <w:tc>
          <w:tcPr>
            <w:tcW w:w="2694" w:type="dxa"/>
            <w:shd w:val="clear" w:color="auto" w:fill="auto"/>
            <w:noWrap/>
            <w:vAlign w:val="center"/>
          </w:tcPr>
          <w:p w14:paraId="5E757E32" w14:textId="76881C50" w:rsidR="004C6CD9" w:rsidRPr="00C64260" w:rsidRDefault="00D73AA5"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Thuật ngữ “Đấu thầu” đã được quy định tại khoản 8 Điều 4 Luật Đấu thầu.</w:t>
            </w:r>
          </w:p>
        </w:tc>
      </w:tr>
      <w:tr w:rsidR="00894F54" w:rsidRPr="00C64260" w14:paraId="203F8D64" w14:textId="77777777" w:rsidTr="00BB2F5C">
        <w:trPr>
          <w:trHeight w:val="2350"/>
        </w:trPr>
        <w:tc>
          <w:tcPr>
            <w:tcW w:w="2547" w:type="dxa"/>
            <w:gridSpan w:val="2"/>
            <w:shd w:val="clear" w:color="auto" w:fill="auto"/>
            <w:noWrap/>
            <w:vAlign w:val="center"/>
          </w:tcPr>
          <w:p w14:paraId="4A66615D" w14:textId="25155416" w:rsidR="00894F54" w:rsidRPr="00C64260" w:rsidRDefault="00894F54" w:rsidP="008C4682">
            <w:pPr>
              <w:spacing w:before="0" w:after="0"/>
              <w:jc w:val="center"/>
              <w:rPr>
                <w:rFonts w:eastAsia="Times New Roman" w:cs="Times New Roman"/>
                <w:color w:val="000000"/>
                <w:kern w:val="0"/>
                <w:sz w:val="24"/>
                <w:szCs w:val="24"/>
                <w14:ligatures w14:val="none"/>
              </w:rPr>
            </w:pPr>
            <w:r w:rsidRPr="00C64260">
              <w:rPr>
                <w:rFonts w:cs="Times New Roman"/>
                <w:sz w:val="24"/>
                <w:szCs w:val="24"/>
              </w:rPr>
              <w:t>Về đối tượng/trường hợp phải tổ chức đấu thầu lựa chọn nhà đầu tư</w:t>
            </w:r>
          </w:p>
        </w:tc>
        <w:tc>
          <w:tcPr>
            <w:tcW w:w="8647" w:type="dxa"/>
            <w:shd w:val="clear" w:color="auto" w:fill="auto"/>
            <w:vAlign w:val="center"/>
          </w:tcPr>
          <w:p w14:paraId="54B2189B" w14:textId="73F7C423" w:rsidR="00894F54" w:rsidRPr="00C64260" w:rsidRDefault="00894F54" w:rsidP="00C64260">
            <w:pPr>
              <w:spacing w:before="0" w:after="0"/>
              <w:rPr>
                <w:rStyle w:val="normaltextrun"/>
                <w:rFonts w:cs="Times New Roman"/>
                <w:color w:val="000000"/>
                <w:sz w:val="24"/>
                <w:szCs w:val="24"/>
                <w:shd w:val="clear" w:color="auto" w:fill="FFFFFF"/>
                <w:lang w:val="vi-VN"/>
              </w:rPr>
            </w:pPr>
            <w:r w:rsidRPr="00C64260">
              <w:rPr>
                <w:rFonts w:cs="Times New Roman"/>
                <w:sz w:val="24"/>
                <w:szCs w:val="24"/>
              </w:rPr>
              <w:t>Theo dự thảo Luật Điện lực sửa đổi kèm theo văn bản số 3043/UBKHCNMT15 ngày 18/11/2024 của Ủy ban Khoa học, công nghệ và môi trường Quốc hội gửi xin ý kiến Chính phủ cũng quy định “… theo quy định của pháp luật về đấu thầu” nên cần làm rõ Đối tượng (phải tổ chức đấu thầu lựa chọn nhà đầu tư) theo quy định ở VBQPPL nào (Nghị định này hay Luật Điện lực sửa đổi).</w:t>
            </w:r>
          </w:p>
        </w:tc>
        <w:tc>
          <w:tcPr>
            <w:tcW w:w="1842" w:type="dxa"/>
            <w:vMerge w:val="restart"/>
            <w:shd w:val="clear" w:color="auto" w:fill="auto"/>
            <w:vAlign w:val="center"/>
          </w:tcPr>
          <w:p w14:paraId="4F66DAC2" w14:textId="3F94BCC7" w:rsidR="00894F54" w:rsidRPr="00C64260" w:rsidRDefault="00894F54"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Vụ Kinh tế công nghiệp, dịch vụ</w:t>
            </w:r>
          </w:p>
        </w:tc>
        <w:tc>
          <w:tcPr>
            <w:tcW w:w="2694" w:type="dxa"/>
            <w:shd w:val="clear" w:color="auto" w:fill="auto"/>
            <w:noWrap/>
            <w:vAlign w:val="center"/>
          </w:tcPr>
          <w:p w14:paraId="37E32642" w14:textId="03B9BF81" w:rsidR="00894F54" w:rsidRPr="00C64260" w:rsidRDefault="00D73AA5"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Dự án thuộc trường hợp phải tổ chức đấu thầu lựa chọn nhà đầu tư được xác định theo quy định của pháp luật quản lý ngành, lĩnh vực. Pháp luật về đấu thầu không quy định lĩnh vực dự án thuộc trường hợp đấu thầu.</w:t>
            </w:r>
          </w:p>
        </w:tc>
      </w:tr>
      <w:tr w:rsidR="00D73AA5" w:rsidRPr="00C64260" w14:paraId="48471259" w14:textId="77777777" w:rsidTr="00BB2F5C">
        <w:trPr>
          <w:trHeight w:val="2350"/>
        </w:trPr>
        <w:tc>
          <w:tcPr>
            <w:tcW w:w="2547" w:type="dxa"/>
            <w:gridSpan w:val="2"/>
            <w:shd w:val="clear" w:color="auto" w:fill="auto"/>
            <w:noWrap/>
            <w:vAlign w:val="center"/>
          </w:tcPr>
          <w:p w14:paraId="56F5F1D9" w14:textId="35FC4110" w:rsidR="00D73AA5" w:rsidRPr="00C64260" w:rsidRDefault="00D73AA5" w:rsidP="008C4682">
            <w:pPr>
              <w:spacing w:before="0" w:after="0"/>
              <w:jc w:val="center"/>
              <w:rPr>
                <w:rFonts w:cs="Times New Roman"/>
                <w:sz w:val="24"/>
                <w:szCs w:val="24"/>
              </w:rPr>
            </w:pPr>
            <w:r w:rsidRPr="00C64260">
              <w:rPr>
                <w:rFonts w:cs="Times New Roman"/>
                <w:sz w:val="24"/>
                <w:szCs w:val="24"/>
              </w:rPr>
              <w:t>Về trình tự, thủ tục đấu thầu lựa chọn nhà đầu tư</w:t>
            </w:r>
          </w:p>
        </w:tc>
        <w:tc>
          <w:tcPr>
            <w:tcW w:w="8647" w:type="dxa"/>
            <w:shd w:val="clear" w:color="auto" w:fill="auto"/>
            <w:vAlign w:val="center"/>
          </w:tcPr>
          <w:p w14:paraId="344BF629" w14:textId="377DEC31" w:rsidR="00D73AA5" w:rsidRPr="00C64260" w:rsidRDefault="00D73AA5" w:rsidP="00C64260">
            <w:pPr>
              <w:spacing w:before="0" w:after="0"/>
              <w:rPr>
                <w:rFonts w:cs="Times New Roman"/>
                <w:sz w:val="24"/>
                <w:szCs w:val="24"/>
              </w:rPr>
            </w:pPr>
            <w:r w:rsidRPr="00C64260">
              <w:rPr>
                <w:rFonts w:cs="Times New Roman"/>
                <w:sz w:val="24"/>
                <w:szCs w:val="24"/>
              </w:rPr>
              <w:t>Trường hợp Luật Điện lực sửa đổi có nội dung quy định về đấu thầu lựa chọn nhà đầu tư thì việc lựa chọn nhà đầu tư các dự án điện sẽ thực hiện theo quy định của Nghị định 115/2024//NĐCP hay Nghị định số 23/2024/NĐ-CP.</w:t>
            </w:r>
          </w:p>
        </w:tc>
        <w:tc>
          <w:tcPr>
            <w:tcW w:w="1842" w:type="dxa"/>
            <w:vMerge/>
            <w:shd w:val="clear" w:color="auto" w:fill="auto"/>
            <w:vAlign w:val="center"/>
          </w:tcPr>
          <w:p w14:paraId="612F650D" w14:textId="77777777" w:rsidR="00D73AA5" w:rsidRPr="00C64260" w:rsidRDefault="00D73AA5" w:rsidP="00C64260">
            <w:pPr>
              <w:spacing w:before="0" w:after="0"/>
              <w:rPr>
                <w:rFonts w:eastAsia="Times New Roman" w:cs="Times New Roman"/>
                <w:color w:val="000000"/>
                <w:kern w:val="0"/>
                <w:sz w:val="24"/>
                <w:szCs w:val="24"/>
                <w14:ligatures w14:val="none"/>
              </w:rPr>
            </w:pPr>
          </w:p>
        </w:tc>
        <w:tc>
          <w:tcPr>
            <w:tcW w:w="2694" w:type="dxa"/>
            <w:shd w:val="clear" w:color="auto" w:fill="auto"/>
            <w:noWrap/>
            <w:vAlign w:val="center"/>
          </w:tcPr>
          <w:p w14:paraId="72447B9C" w14:textId="48754905" w:rsidR="00D73AA5" w:rsidRPr="00C64260" w:rsidRDefault="00D73AA5"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Dự án thuộc trường hợp phải tổ chức đấu thầu lựa chọn nhà đầu tư được xác định theo quy định của pháp luật quản lý ngành, lĩnh vực. Pháp luật về đấu thầu không quy định lĩnh vực dự án thuộc trường hợp đấu thầu.</w:t>
            </w:r>
          </w:p>
        </w:tc>
      </w:tr>
      <w:tr w:rsidR="00D73AA5" w:rsidRPr="00C64260" w14:paraId="705EAE33" w14:textId="77777777" w:rsidTr="00BB2F5C">
        <w:trPr>
          <w:trHeight w:val="1607"/>
        </w:trPr>
        <w:tc>
          <w:tcPr>
            <w:tcW w:w="2547" w:type="dxa"/>
            <w:gridSpan w:val="2"/>
            <w:shd w:val="clear" w:color="auto" w:fill="auto"/>
            <w:noWrap/>
            <w:vAlign w:val="center"/>
          </w:tcPr>
          <w:p w14:paraId="6BB86623" w14:textId="77777777" w:rsidR="00D73AA5" w:rsidRPr="00C64260" w:rsidRDefault="00D73AA5" w:rsidP="008C4682">
            <w:pPr>
              <w:spacing w:before="0" w:after="0"/>
              <w:jc w:val="center"/>
              <w:rPr>
                <w:rFonts w:cs="Times New Roman"/>
                <w:sz w:val="24"/>
                <w:szCs w:val="24"/>
              </w:rPr>
            </w:pPr>
          </w:p>
        </w:tc>
        <w:tc>
          <w:tcPr>
            <w:tcW w:w="8647" w:type="dxa"/>
            <w:shd w:val="clear" w:color="auto" w:fill="auto"/>
            <w:vAlign w:val="center"/>
          </w:tcPr>
          <w:p w14:paraId="00007FDF" w14:textId="77777777" w:rsidR="00D73AA5" w:rsidRPr="00C64260" w:rsidRDefault="00D73AA5" w:rsidP="00C64260">
            <w:pPr>
              <w:spacing w:before="0" w:after="0"/>
              <w:rPr>
                <w:rFonts w:cs="Times New Roman"/>
                <w:sz w:val="24"/>
                <w:szCs w:val="24"/>
              </w:rPr>
            </w:pPr>
            <w:r w:rsidRPr="00C64260">
              <w:rPr>
                <w:rFonts w:cs="Times New Roman"/>
                <w:sz w:val="24"/>
                <w:szCs w:val="24"/>
              </w:rPr>
              <w:t xml:space="preserve">Quy định rõ thẩm quyền là theo quy định của Luật Điện lực. </w:t>
            </w:r>
          </w:p>
          <w:p w14:paraId="1C3338EA" w14:textId="7D3F49D6" w:rsidR="00D73AA5" w:rsidRPr="00C64260" w:rsidRDefault="00D73AA5" w:rsidP="00C64260">
            <w:pPr>
              <w:spacing w:before="0" w:after="0"/>
              <w:rPr>
                <w:rFonts w:cs="Times New Roman"/>
                <w:sz w:val="24"/>
                <w:szCs w:val="24"/>
              </w:rPr>
            </w:pPr>
            <w:r w:rsidRPr="00C64260">
              <w:rPr>
                <w:rFonts w:cs="Times New Roman"/>
                <w:sz w:val="24"/>
                <w:szCs w:val="24"/>
              </w:rPr>
              <w:t xml:space="preserve">Lý </w:t>
            </w:r>
            <w:proofErr w:type="gramStart"/>
            <w:r w:rsidRPr="00C64260">
              <w:rPr>
                <w:rFonts w:cs="Times New Roman"/>
                <w:sz w:val="24"/>
                <w:szCs w:val="24"/>
              </w:rPr>
              <w:t>do</w:t>
            </w:r>
            <w:proofErr w:type="gramEnd"/>
            <w:r w:rsidRPr="00C64260">
              <w:rPr>
                <w:rFonts w:cs="Times New Roman"/>
                <w:sz w:val="24"/>
                <w:szCs w:val="24"/>
              </w:rPr>
              <w:t>: Theo dự thảo Luật Điện lực sửa đổi, Bộ Công Thương tổ chức đấu thầu lựa chọn nhà đầu tư các dự án điện lực thuộc thẩm quyền chấp thuận chủ trương đầu tư của Quốc hội và Thủ tướng Chính phủ, Ủy ban nhân dân cấp tỉnh nơi có dự án tổ chức lựa chọn nhà đầu tư các dự án điện lực do mình chấp thuận chủ trương đầu tư</w:t>
            </w:r>
          </w:p>
        </w:tc>
        <w:tc>
          <w:tcPr>
            <w:tcW w:w="1842" w:type="dxa"/>
            <w:vMerge/>
            <w:shd w:val="clear" w:color="auto" w:fill="auto"/>
            <w:vAlign w:val="center"/>
          </w:tcPr>
          <w:p w14:paraId="741B2792" w14:textId="77777777" w:rsidR="00D73AA5" w:rsidRPr="00C64260" w:rsidRDefault="00D73AA5" w:rsidP="00C64260">
            <w:pPr>
              <w:spacing w:before="0" w:after="0"/>
              <w:rPr>
                <w:rFonts w:eastAsia="Times New Roman" w:cs="Times New Roman"/>
                <w:color w:val="000000"/>
                <w:kern w:val="0"/>
                <w:sz w:val="24"/>
                <w:szCs w:val="24"/>
                <w14:ligatures w14:val="none"/>
              </w:rPr>
            </w:pPr>
          </w:p>
        </w:tc>
        <w:tc>
          <w:tcPr>
            <w:tcW w:w="2694" w:type="dxa"/>
            <w:shd w:val="clear" w:color="auto" w:fill="auto"/>
            <w:noWrap/>
            <w:vAlign w:val="center"/>
          </w:tcPr>
          <w:p w14:paraId="50C9FF94" w14:textId="0F448444" w:rsidR="00D73AA5" w:rsidRPr="00C64260" w:rsidRDefault="00D73AA5"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Điều 56</w:t>
            </w:r>
            <w:r w:rsidR="00DB4A34" w:rsidRPr="00C64260">
              <w:rPr>
                <w:rFonts w:eastAsia="Times New Roman" w:cs="Times New Roman"/>
                <w:color w:val="000000"/>
                <w:kern w:val="0"/>
                <w:sz w:val="24"/>
                <w:szCs w:val="24"/>
                <w14:ligatures w14:val="none"/>
              </w:rPr>
              <w:t xml:space="preserve"> Nghị định số 115/2024/NĐ-CP quy định trách nhiệm của Bộ trưởng, Chủ tịch UBND cấp tỉnh trong lựa chọn nhà đầu tư.</w:t>
            </w:r>
          </w:p>
        </w:tc>
      </w:tr>
      <w:tr w:rsidR="00D73AA5" w:rsidRPr="00C64260" w14:paraId="4F2EBB47" w14:textId="77777777" w:rsidTr="00BB2F5C">
        <w:trPr>
          <w:trHeight w:val="2350"/>
        </w:trPr>
        <w:tc>
          <w:tcPr>
            <w:tcW w:w="2547" w:type="dxa"/>
            <w:gridSpan w:val="2"/>
            <w:shd w:val="clear" w:color="auto" w:fill="auto"/>
            <w:noWrap/>
            <w:vAlign w:val="center"/>
          </w:tcPr>
          <w:p w14:paraId="0574BEFC" w14:textId="77777777" w:rsidR="00D73AA5" w:rsidRPr="00C64260" w:rsidRDefault="00D73AA5" w:rsidP="008C4682">
            <w:pPr>
              <w:spacing w:before="0" w:after="0"/>
              <w:jc w:val="center"/>
              <w:rPr>
                <w:rFonts w:cs="Times New Roman"/>
                <w:sz w:val="24"/>
                <w:szCs w:val="24"/>
              </w:rPr>
            </w:pPr>
          </w:p>
        </w:tc>
        <w:tc>
          <w:tcPr>
            <w:tcW w:w="8647" w:type="dxa"/>
            <w:shd w:val="clear" w:color="auto" w:fill="auto"/>
            <w:vAlign w:val="center"/>
          </w:tcPr>
          <w:p w14:paraId="6ACF8869" w14:textId="1C30E8D4" w:rsidR="00D73AA5" w:rsidRPr="00C64260" w:rsidRDefault="00D73AA5" w:rsidP="00C64260">
            <w:pPr>
              <w:spacing w:before="0" w:after="0"/>
              <w:rPr>
                <w:rFonts w:cs="Times New Roman"/>
                <w:sz w:val="24"/>
                <w:szCs w:val="24"/>
              </w:rPr>
            </w:pPr>
            <w:r w:rsidRPr="00C64260">
              <w:rPr>
                <w:rFonts w:cs="Times New Roman"/>
                <w:sz w:val="24"/>
                <w:szCs w:val="24"/>
              </w:rPr>
              <w:t>- Làm rõ cơ chế tham gia của Tập đoàn Điện lực Việt Nam (EVN) trong quá trình đấu thầu lựa chọn nhà đầu tư các dự án điện, do EVN là bên mua điện sẽ đàm phán, ký kết hợp đồng PPA với các nhà đầu tư</w:t>
            </w:r>
          </w:p>
        </w:tc>
        <w:tc>
          <w:tcPr>
            <w:tcW w:w="1842" w:type="dxa"/>
            <w:vMerge/>
            <w:shd w:val="clear" w:color="auto" w:fill="auto"/>
            <w:vAlign w:val="center"/>
          </w:tcPr>
          <w:p w14:paraId="36B10D32" w14:textId="77777777" w:rsidR="00D73AA5" w:rsidRPr="00C64260" w:rsidRDefault="00D73AA5" w:rsidP="00C64260">
            <w:pPr>
              <w:spacing w:before="0" w:after="0"/>
              <w:rPr>
                <w:rFonts w:eastAsia="Times New Roman" w:cs="Times New Roman"/>
                <w:color w:val="000000"/>
                <w:kern w:val="0"/>
                <w:sz w:val="24"/>
                <w:szCs w:val="24"/>
                <w14:ligatures w14:val="none"/>
              </w:rPr>
            </w:pPr>
          </w:p>
        </w:tc>
        <w:tc>
          <w:tcPr>
            <w:tcW w:w="2694" w:type="dxa"/>
            <w:shd w:val="clear" w:color="auto" w:fill="auto"/>
            <w:noWrap/>
            <w:vAlign w:val="center"/>
          </w:tcPr>
          <w:p w14:paraId="4154041E" w14:textId="4E560FEC" w:rsidR="00D73AA5" w:rsidRPr="00C64260" w:rsidRDefault="00DB4A34"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Cơ chế tham gia của Tập đoàn Điện lực Việt Nam</w:t>
            </w:r>
            <w:r w:rsidR="00D83E34" w:rsidRPr="00C64260">
              <w:rPr>
                <w:rFonts w:eastAsia="Times New Roman" w:cs="Times New Roman"/>
                <w:color w:val="000000"/>
                <w:kern w:val="0"/>
                <w:sz w:val="24"/>
                <w:szCs w:val="24"/>
                <w14:ligatures w14:val="none"/>
              </w:rPr>
              <w:t xml:space="preserve"> quy định tại khoản 3 Điều 70 Nghị định số 115/2024/NĐ-CP (sửa đổi, bổ sung Điều 3 Nghị định số 137/2013/NĐ-CP)</w:t>
            </w:r>
            <w:r w:rsidRPr="00C64260">
              <w:rPr>
                <w:rFonts w:eastAsia="Times New Roman" w:cs="Times New Roman"/>
                <w:color w:val="000000"/>
                <w:kern w:val="0"/>
                <w:sz w:val="24"/>
                <w:szCs w:val="24"/>
                <w14:ligatures w14:val="none"/>
              </w:rPr>
              <w:t xml:space="preserve"> thực hiện theo đề nghị của cơ quan có thẩm quyền</w:t>
            </w:r>
            <w:r w:rsidR="00D83E34" w:rsidRPr="00C64260">
              <w:rPr>
                <w:rFonts w:eastAsia="Times New Roman" w:cs="Times New Roman"/>
                <w:color w:val="000000"/>
                <w:kern w:val="0"/>
                <w:sz w:val="24"/>
                <w:szCs w:val="24"/>
                <w14:ligatures w14:val="none"/>
              </w:rPr>
              <w:t xml:space="preserve"> về hồ sơ mời thầu, dự thảo hợp đồng mua bán điện </w:t>
            </w:r>
          </w:p>
        </w:tc>
      </w:tr>
      <w:tr w:rsidR="00D73AA5" w:rsidRPr="00C64260" w14:paraId="40805688" w14:textId="77777777" w:rsidTr="00BB2F5C">
        <w:trPr>
          <w:trHeight w:val="416"/>
        </w:trPr>
        <w:tc>
          <w:tcPr>
            <w:tcW w:w="2547" w:type="dxa"/>
            <w:gridSpan w:val="2"/>
            <w:shd w:val="clear" w:color="auto" w:fill="auto"/>
            <w:noWrap/>
            <w:vAlign w:val="center"/>
          </w:tcPr>
          <w:p w14:paraId="311DE095" w14:textId="77777777" w:rsidR="00D73AA5" w:rsidRPr="00C64260" w:rsidRDefault="00D73AA5" w:rsidP="008C4682">
            <w:pPr>
              <w:spacing w:before="0" w:after="0"/>
              <w:jc w:val="center"/>
              <w:rPr>
                <w:rFonts w:cs="Times New Roman"/>
                <w:sz w:val="24"/>
                <w:szCs w:val="24"/>
              </w:rPr>
            </w:pPr>
          </w:p>
        </w:tc>
        <w:tc>
          <w:tcPr>
            <w:tcW w:w="8647" w:type="dxa"/>
            <w:shd w:val="clear" w:color="auto" w:fill="auto"/>
            <w:vAlign w:val="center"/>
          </w:tcPr>
          <w:p w14:paraId="623D7E15" w14:textId="112DC052" w:rsidR="00D73AA5" w:rsidRPr="00C64260" w:rsidRDefault="00D73AA5" w:rsidP="00C64260">
            <w:pPr>
              <w:spacing w:before="0" w:after="0"/>
              <w:rPr>
                <w:rFonts w:cs="Times New Roman"/>
                <w:sz w:val="24"/>
                <w:szCs w:val="24"/>
              </w:rPr>
            </w:pPr>
            <w:r w:rsidRPr="00C64260">
              <w:rPr>
                <w:rFonts w:cs="Times New Roman"/>
                <w:sz w:val="24"/>
                <w:szCs w:val="24"/>
              </w:rPr>
              <w:t>Đề nghị Cục QLĐT xem xét bản chất quy định về đấu thầu lựa chọn nhà đầu tư các dự án điện là “đấu thầu lựa chọn nhà đầu tư theo quy định của pháp luật quản lý ngành, lĩnh vực” (điểm b khoản 3 Điều 2 Luật Đấu thầu). Việc đưa vào Nghị định 115/2024//NĐ-CP vừa qua là do phát sinh yẻu cầu quản lý nhưng Nghị định số 23/2024/NĐ-CP ban hành rồi mà chưa có dự án điện. Mặt khác, theo Vụ KTCNDV thì yếu tố đất đai không phải yếu tố quan trọng nhất trong đấu thầu dự án điện nên cần quy định đấu thầu dự án điện theo pháp luật 2 chuyên ngành. Hiện nay là thời điểm sửa đổi cả 2 nghị định này nên sẽ thích hợp cho việc chuyển quy định về đấu thầu lựa chọn nhà đầu tư dự án điện. Vì vậy, Vụ KTCNDV đề nghị chuyển các quy định liên quan đến đấu thầu lựa chọn nhà đầu tư dự án điện từ Nghị định 115/2024//NĐ-CP sang quy định tại Nghị định số 23/2024/NĐ-CP</w:t>
            </w:r>
          </w:p>
        </w:tc>
        <w:tc>
          <w:tcPr>
            <w:tcW w:w="1842" w:type="dxa"/>
            <w:vMerge/>
            <w:shd w:val="clear" w:color="auto" w:fill="auto"/>
            <w:vAlign w:val="center"/>
          </w:tcPr>
          <w:p w14:paraId="6C1AD02E" w14:textId="77777777" w:rsidR="00D73AA5" w:rsidRPr="00C64260" w:rsidRDefault="00D73AA5" w:rsidP="00C64260">
            <w:pPr>
              <w:spacing w:before="0" w:after="0"/>
              <w:rPr>
                <w:rFonts w:eastAsia="Times New Roman" w:cs="Times New Roman"/>
                <w:color w:val="000000"/>
                <w:kern w:val="0"/>
                <w:sz w:val="24"/>
                <w:szCs w:val="24"/>
                <w14:ligatures w14:val="none"/>
              </w:rPr>
            </w:pPr>
          </w:p>
        </w:tc>
        <w:tc>
          <w:tcPr>
            <w:tcW w:w="2694" w:type="dxa"/>
            <w:shd w:val="clear" w:color="auto" w:fill="auto"/>
            <w:noWrap/>
            <w:vAlign w:val="center"/>
          </w:tcPr>
          <w:p w14:paraId="5BB16BC5" w14:textId="0CE87B86" w:rsidR="00D73AA5" w:rsidRPr="00C64260" w:rsidRDefault="00D83E34" w:rsidP="00C64260">
            <w:pPr>
              <w:spacing w:before="0" w:after="0"/>
              <w:rPr>
                <w:rFonts w:eastAsia="Times New Roman" w:cs="Times New Roman"/>
                <w:color w:val="000000"/>
                <w:kern w:val="0"/>
                <w:sz w:val="24"/>
                <w:szCs w:val="24"/>
                <w14:ligatures w14:val="none"/>
              </w:rPr>
            </w:pPr>
            <w:r w:rsidRPr="00C64260">
              <w:rPr>
                <w:rFonts w:eastAsia="Times New Roman" w:cs="Times New Roman"/>
                <w:color w:val="000000"/>
                <w:kern w:val="0"/>
                <w:sz w:val="24"/>
                <w:szCs w:val="24"/>
                <w14:ligatures w14:val="none"/>
              </w:rPr>
              <w:t>Dự án thuộc trường hợp phải tổ chức đấu thầu lựa chọn nhà đầu tư được xác định theo quy định của pháp luật quản lý ngành, lĩnh vực. Pháp luật về đấu thầu không quy định lĩnh vực dự án thuộc trường hợp đấu thầu.</w:t>
            </w:r>
          </w:p>
        </w:tc>
      </w:tr>
    </w:tbl>
    <w:p w14:paraId="290E9242" w14:textId="77777777" w:rsidR="0041382F" w:rsidRDefault="0041382F" w:rsidP="000B07BE">
      <w:pPr>
        <w:ind w:firstLine="720"/>
      </w:pPr>
    </w:p>
    <w:sectPr w:rsidR="0041382F" w:rsidSect="00A40F0F">
      <w:headerReference w:type="default" r:id="rId7"/>
      <w:pgSz w:w="16840" w:h="11907" w:orient="landscape" w:code="9"/>
      <w:pgMar w:top="567" w:right="567" w:bottom="567" w:left="567"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ECE70" w14:textId="77777777" w:rsidR="006B67AF" w:rsidRDefault="006B67AF" w:rsidP="00A40F0F">
      <w:pPr>
        <w:spacing w:before="0" w:after="0"/>
      </w:pPr>
      <w:r>
        <w:separator/>
      </w:r>
    </w:p>
  </w:endnote>
  <w:endnote w:type="continuationSeparator" w:id="0">
    <w:p w14:paraId="69383F35" w14:textId="77777777" w:rsidR="006B67AF" w:rsidRDefault="006B67AF" w:rsidP="00A40F0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4D3FF" w14:textId="77777777" w:rsidR="006B67AF" w:rsidRDefault="006B67AF" w:rsidP="00A40F0F">
      <w:pPr>
        <w:spacing w:before="0" w:after="0"/>
      </w:pPr>
      <w:r>
        <w:separator/>
      </w:r>
    </w:p>
  </w:footnote>
  <w:footnote w:type="continuationSeparator" w:id="0">
    <w:p w14:paraId="35F6A397" w14:textId="77777777" w:rsidR="006B67AF" w:rsidRDefault="006B67AF" w:rsidP="00A40F0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0461499"/>
      <w:docPartObj>
        <w:docPartGallery w:val="Page Numbers (Top of Page)"/>
        <w:docPartUnique/>
      </w:docPartObj>
    </w:sdtPr>
    <w:sdtEndPr>
      <w:rPr>
        <w:noProof/>
        <w:sz w:val="24"/>
        <w:szCs w:val="24"/>
      </w:rPr>
    </w:sdtEndPr>
    <w:sdtContent>
      <w:p w14:paraId="61952B21" w14:textId="6575BB9A" w:rsidR="00A40F0F" w:rsidRPr="00657C48" w:rsidRDefault="00A40F0F">
        <w:pPr>
          <w:pStyle w:val="Header"/>
          <w:jc w:val="center"/>
          <w:rPr>
            <w:sz w:val="24"/>
            <w:szCs w:val="24"/>
          </w:rPr>
        </w:pPr>
        <w:r w:rsidRPr="00657C48">
          <w:rPr>
            <w:sz w:val="24"/>
            <w:szCs w:val="24"/>
          </w:rPr>
          <w:fldChar w:fldCharType="begin"/>
        </w:r>
        <w:r w:rsidRPr="00657C48">
          <w:rPr>
            <w:sz w:val="24"/>
            <w:szCs w:val="24"/>
          </w:rPr>
          <w:instrText xml:space="preserve"> PAGE   \* MERGEFORMAT </w:instrText>
        </w:r>
        <w:r w:rsidRPr="00657C48">
          <w:rPr>
            <w:sz w:val="24"/>
            <w:szCs w:val="24"/>
          </w:rPr>
          <w:fldChar w:fldCharType="separate"/>
        </w:r>
        <w:r w:rsidRPr="00657C48">
          <w:rPr>
            <w:noProof/>
            <w:sz w:val="24"/>
            <w:szCs w:val="24"/>
          </w:rPr>
          <w:t>2</w:t>
        </w:r>
        <w:r w:rsidRPr="00657C48">
          <w:rPr>
            <w:noProof/>
            <w:sz w:val="24"/>
            <w:szCs w:val="24"/>
          </w:rPr>
          <w:fldChar w:fldCharType="end"/>
        </w:r>
      </w:p>
    </w:sdtContent>
  </w:sdt>
  <w:p w14:paraId="51FCD610" w14:textId="77777777" w:rsidR="00A40F0F" w:rsidRDefault="00A40F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7067F6"/>
    <w:multiLevelType w:val="hybridMultilevel"/>
    <w:tmpl w:val="E23CCD98"/>
    <w:lvl w:ilvl="0" w:tplc="408A762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E4D237E"/>
    <w:multiLevelType w:val="hybridMultilevel"/>
    <w:tmpl w:val="0728040E"/>
    <w:lvl w:ilvl="0" w:tplc="8DEE7EF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0171973">
    <w:abstractNumId w:val="1"/>
  </w:num>
  <w:num w:numId="2" w16cid:durableId="16674369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82F"/>
    <w:rsid w:val="00020111"/>
    <w:rsid w:val="00026AEE"/>
    <w:rsid w:val="000B07BE"/>
    <w:rsid w:val="000F2A67"/>
    <w:rsid w:val="0012034D"/>
    <w:rsid w:val="00122053"/>
    <w:rsid w:val="00161F18"/>
    <w:rsid w:val="001C5A88"/>
    <w:rsid w:val="00206DDB"/>
    <w:rsid w:val="00213564"/>
    <w:rsid w:val="00234EEE"/>
    <w:rsid w:val="00293852"/>
    <w:rsid w:val="002A144C"/>
    <w:rsid w:val="002E2A85"/>
    <w:rsid w:val="00324D7D"/>
    <w:rsid w:val="003F3FD0"/>
    <w:rsid w:val="004050C4"/>
    <w:rsid w:val="0041382F"/>
    <w:rsid w:val="00423091"/>
    <w:rsid w:val="00456095"/>
    <w:rsid w:val="00471BFD"/>
    <w:rsid w:val="004C6CD9"/>
    <w:rsid w:val="004D1EE4"/>
    <w:rsid w:val="004F3553"/>
    <w:rsid w:val="005041DD"/>
    <w:rsid w:val="00507B43"/>
    <w:rsid w:val="00572011"/>
    <w:rsid w:val="006343E0"/>
    <w:rsid w:val="00657C48"/>
    <w:rsid w:val="006653FA"/>
    <w:rsid w:val="006B67AF"/>
    <w:rsid w:val="007339E0"/>
    <w:rsid w:val="00763108"/>
    <w:rsid w:val="00766C17"/>
    <w:rsid w:val="00772E9A"/>
    <w:rsid w:val="00814ED8"/>
    <w:rsid w:val="00864E20"/>
    <w:rsid w:val="00894F54"/>
    <w:rsid w:val="008C4682"/>
    <w:rsid w:val="008D4152"/>
    <w:rsid w:val="00912240"/>
    <w:rsid w:val="00A25F23"/>
    <w:rsid w:val="00A40F0F"/>
    <w:rsid w:val="00AE19FC"/>
    <w:rsid w:val="00B0170E"/>
    <w:rsid w:val="00B622BB"/>
    <w:rsid w:val="00B816E3"/>
    <w:rsid w:val="00B95AC2"/>
    <w:rsid w:val="00BB2F5C"/>
    <w:rsid w:val="00C14100"/>
    <w:rsid w:val="00C247EB"/>
    <w:rsid w:val="00C64260"/>
    <w:rsid w:val="00C80AF2"/>
    <w:rsid w:val="00CF771B"/>
    <w:rsid w:val="00D10BCB"/>
    <w:rsid w:val="00D3530D"/>
    <w:rsid w:val="00D620D6"/>
    <w:rsid w:val="00D73424"/>
    <w:rsid w:val="00D73AA5"/>
    <w:rsid w:val="00D83E34"/>
    <w:rsid w:val="00DB4A34"/>
    <w:rsid w:val="00DE35C3"/>
    <w:rsid w:val="00E307E5"/>
    <w:rsid w:val="00E31A38"/>
    <w:rsid w:val="00E3387D"/>
    <w:rsid w:val="00E45979"/>
    <w:rsid w:val="00E63548"/>
    <w:rsid w:val="00E672BA"/>
    <w:rsid w:val="00F1521B"/>
    <w:rsid w:val="00F24307"/>
    <w:rsid w:val="00F243F6"/>
    <w:rsid w:val="00F54509"/>
    <w:rsid w:val="00FA0F03"/>
    <w:rsid w:val="00FD0967"/>
    <w:rsid w:val="00FF5D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02125"/>
  <w15:chartTrackingRefBased/>
  <w15:docId w15:val="{D3F30FC4-6988-48E7-979E-35106C5C8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1382F"/>
    <w:rPr>
      <w:color w:val="467886"/>
      <w:u w:val="single"/>
    </w:rPr>
  </w:style>
  <w:style w:type="character" w:styleId="FollowedHyperlink">
    <w:name w:val="FollowedHyperlink"/>
    <w:basedOn w:val="DefaultParagraphFont"/>
    <w:uiPriority w:val="99"/>
    <w:semiHidden/>
    <w:unhideWhenUsed/>
    <w:rsid w:val="0041382F"/>
    <w:rPr>
      <w:color w:val="467886"/>
      <w:u w:val="single"/>
    </w:rPr>
  </w:style>
  <w:style w:type="paragraph" w:customStyle="1" w:styleId="msonormal0">
    <w:name w:val="msonormal"/>
    <w:basedOn w:val="Normal"/>
    <w:rsid w:val="0041382F"/>
    <w:pPr>
      <w:spacing w:before="100" w:beforeAutospacing="1" w:after="100" w:afterAutospacing="1"/>
      <w:jc w:val="left"/>
    </w:pPr>
    <w:rPr>
      <w:rFonts w:eastAsia="Times New Roman" w:cs="Times New Roman"/>
      <w:kern w:val="0"/>
      <w:sz w:val="24"/>
      <w:szCs w:val="24"/>
      <w14:ligatures w14:val="none"/>
    </w:rPr>
  </w:style>
  <w:style w:type="paragraph" w:customStyle="1" w:styleId="font5">
    <w:name w:val="font5"/>
    <w:basedOn w:val="Normal"/>
    <w:rsid w:val="0041382F"/>
    <w:pPr>
      <w:spacing w:before="100" w:beforeAutospacing="1" w:after="100" w:afterAutospacing="1"/>
      <w:jc w:val="left"/>
    </w:pPr>
    <w:rPr>
      <w:rFonts w:eastAsia="Times New Roman" w:cs="Times New Roman"/>
      <w:b/>
      <w:bCs/>
      <w:color w:val="000000"/>
      <w:kern w:val="0"/>
      <w:sz w:val="24"/>
      <w:szCs w:val="24"/>
      <w14:ligatures w14:val="none"/>
    </w:rPr>
  </w:style>
  <w:style w:type="paragraph" w:customStyle="1" w:styleId="font6">
    <w:name w:val="font6"/>
    <w:basedOn w:val="Normal"/>
    <w:rsid w:val="0041382F"/>
    <w:pPr>
      <w:spacing w:before="100" w:beforeAutospacing="1" w:after="100" w:afterAutospacing="1"/>
      <w:jc w:val="left"/>
    </w:pPr>
    <w:rPr>
      <w:rFonts w:eastAsia="Times New Roman" w:cs="Times New Roman"/>
      <w:color w:val="000000"/>
      <w:kern w:val="0"/>
      <w:sz w:val="24"/>
      <w:szCs w:val="24"/>
      <w14:ligatures w14:val="none"/>
    </w:rPr>
  </w:style>
  <w:style w:type="paragraph" w:customStyle="1" w:styleId="font7">
    <w:name w:val="font7"/>
    <w:basedOn w:val="Normal"/>
    <w:rsid w:val="0041382F"/>
    <w:pPr>
      <w:spacing w:before="100" w:beforeAutospacing="1" w:after="100" w:afterAutospacing="1"/>
      <w:jc w:val="left"/>
    </w:pPr>
    <w:rPr>
      <w:rFonts w:eastAsia="Times New Roman" w:cs="Times New Roman"/>
      <w:color w:val="000000"/>
      <w:kern w:val="0"/>
      <w:sz w:val="24"/>
      <w:szCs w:val="24"/>
      <w14:ligatures w14:val="none"/>
    </w:rPr>
  </w:style>
  <w:style w:type="paragraph" w:customStyle="1" w:styleId="font8">
    <w:name w:val="font8"/>
    <w:basedOn w:val="Normal"/>
    <w:rsid w:val="0041382F"/>
    <w:pPr>
      <w:spacing w:before="100" w:beforeAutospacing="1" w:after="100" w:afterAutospacing="1"/>
      <w:jc w:val="left"/>
    </w:pPr>
    <w:rPr>
      <w:rFonts w:eastAsia="Times New Roman" w:cs="Times New Roman"/>
      <w:b/>
      <w:bCs/>
      <w:color w:val="000000"/>
      <w:kern w:val="0"/>
      <w:sz w:val="24"/>
      <w:szCs w:val="24"/>
      <w14:ligatures w14:val="none"/>
    </w:rPr>
  </w:style>
  <w:style w:type="paragraph" w:customStyle="1" w:styleId="font9">
    <w:name w:val="font9"/>
    <w:basedOn w:val="Normal"/>
    <w:rsid w:val="0041382F"/>
    <w:pPr>
      <w:spacing w:before="100" w:beforeAutospacing="1" w:after="100" w:afterAutospacing="1"/>
      <w:jc w:val="left"/>
    </w:pPr>
    <w:rPr>
      <w:rFonts w:eastAsia="Times New Roman" w:cs="Times New Roman"/>
      <w:i/>
      <w:iCs/>
      <w:color w:val="000000"/>
      <w:kern w:val="0"/>
      <w:sz w:val="24"/>
      <w:szCs w:val="24"/>
      <w14:ligatures w14:val="none"/>
    </w:rPr>
  </w:style>
  <w:style w:type="paragraph" w:customStyle="1" w:styleId="font10">
    <w:name w:val="font10"/>
    <w:basedOn w:val="Normal"/>
    <w:rsid w:val="0041382F"/>
    <w:pPr>
      <w:spacing w:before="100" w:beforeAutospacing="1" w:after="100" w:afterAutospacing="1"/>
      <w:jc w:val="left"/>
    </w:pPr>
    <w:rPr>
      <w:rFonts w:eastAsia="Times New Roman" w:cs="Times New Roman"/>
      <w:b/>
      <w:bCs/>
      <w:i/>
      <w:iCs/>
      <w:color w:val="000000"/>
      <w:kern w:val="0"/>
      <w:sz w:val="24"/>
      <w:szCs w:val="24"/>
      <w14:ligatures w14:val="none"/>
    </w:rPr>
  </w:style>
  <w:style w:type="paragraph" w:customStyle="1" w:styleId="xl65">
    <w:name w:val="xl65"/>
    <w:basedOn w:val="Normal"/>
    <w:rsid w:val="0041382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s="Times New Roman"/>
      <w:b/>
      <w:bCs/>
      <w:kern w:val="0"/>
      <w:sz w:val="24"/>
      <w:szCs w:val="24"/>
      <w14:ligatures w14:val="none"/>
    </w:rPr>
  </w:style>
  <w:style w:type="paragraph" w:customStyle="1" w:styleId="xl66">
    <w:name w:val="xl66"/>
    <w:basedOn w:val="Normal"/>
    <w:rsid w:val="0041382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s="Times New Roman"/>
      <w:b/>
      <w:bCs/>
      <w:kern w:val="0"/>
      <w:sz w:val="24"/>
      <w:szCs w:val="24"/>
      <w14:ligatures w14:val="none"/>
    </w:rPr>
  </w:style>
  <w:style w:type="paragraph" w:customStyle="1" w:styleId="xl67">
    <w:name w:val="xl67"/>
    <w:basedOn w:val="Normal"/>
    <w:rsid w:val="0041382F"/>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eastAsia="Times New Roman" w:cs="Times New Roman"/>
      <w:kern w:val="0"/>
      <w:sz w:val="24"/>
      <w:szCs w:val="24"/>
      <w14:ligatures w14:val="none"/>
    </w:rPr>
  </w:style>
  <w:style w:type="paragraph" w:customStyle="1" w:styleId="xl68">
    <w:name w:val="xl68"/>
    <w:basedOn w:val="Normal"/>
    <w:rsid w:val="0041382F"/>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eastAsia="Times New Roman" w:cs="Times New Roman"/>
      <w:b/>
      <w:bCs/>
      <w:kern w:val="0"/>
      <w:sz w:val="24"/>
      <w:szCs w:val="24"/>
      <w14:ligatures w14:val="none"/>
    </w:rPr>
  </w:style>
  <w:style w:type="paragraph" w:customStyle="1" w:styleId="xl69">
    <w:name w:val="xl69"/>
    <w:basedOn w:val="Normal"/>
    <w:rsid w:val="0041382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s="Times New Roman"/>
      <w:kern w:val="0"/>
      <w:sz w:val="24"/>
      <w:szCs w:val="24"/>
      <w14:ligatures w14:val="none"/>
    </w:rPr>
  </w:style>
  <w:style w:type="paragraph" w:customStyle="1" w:styleId="xl70">
    <w:name w:val="xl70"/>
    <w:basedOn w:val="Normal"/>
    <w:rsid w:val="0041382F"/>
    <w:pPr>
      <w:pBdr>
        <w:top w:val="single" w:sz="4" w:space="0" w:color="000000"/>
        <w:left w:val="single" w:sz="4" w:space="0" w:color="000000"/>
        <w:bottom w:val="single" w:sz="4" w:space="0" w:color="000000"/>
      </w:pBdr>
      <w:spacing w:before="100" w:beforeAutospacing="1" w:after="100" w:afterAutospacing="1"/>
      <w:jc w:val="center"/>
      <w:textAlignment w:val="center"/>
    </w:pPr>
    <w:rPr>
      <w:rFonts w:eastAsia="Times New Roman" w:cs="Times New Roman"/>
      <w:b/>
      <w:bCs/>
      <w:kern w:val="0"/>
      <w:sz w:val="24"/>
      <w:szCs w:val="24"/>
      <w14:ligatures w14:val="none"/>
    </w:rPr>
  </w:style>
  <w:style w:type="paragraph" w:customStyle="1" w:styleId="xl71">
    <w:name w:val="xl71"/>
    <w:basedOn w:val="Normal"/>
    <w:rsid w:val="0041382F"/>
    <w:pPr>
      <w:pBdr>
        <w:top w:val="single" w:sz="4" w:space="0" w:color="000000"/>
        <w:left w:val="single" w:sz="4" w:space="0" w:color="000000"/>
        <w:right w:val="single" w:sz="4" w:space="0" w:color="000000"/>
      </w:pBdr>
      <w:spacing w:before="100" w:beforeAutospacing="1" w:after="100" w:afterAutospacing="1"/>
      <w:jc w:val="center"/>
      <w:textAlignment w:val="center"/>
    </w:pPr>
    <w:rPr>
      <w:rFonts w:eastAsia="Times New Roman" w:cs="Times New Roman"/>
      <w:b/>
      <w:bCs/>
      <w:kern w:val="0"/>
      <w:sz w:val="24"/>
      <w:szCs w:val="24"/>
      <w14:ligatures w14:val="none"/>
    </w:rPr>
  </w:style>
  <w:style w:type="paragraph" w:customStyle="1" w:styleId="xl72">
    <w:name w:val="xl72"/>
    <w:basedOn w:val="Normal"/>
    <w:rsid w:val="0041382F"/>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eastAsia="Times New Roman" w:cs="Times New Roman"/>
      <w:color w:val="000000"/>
      <w:kern w:val="0"/>
      <w:sz w:val="24"/>
      <w:szCs w:val="24"/>
      <w14:ligatures w14:val="none"/>
    </w:rPr>
  </w:style>
  <w:style w:type="paragraph" w:customStyle="1" w:styleId="xl73">
    <w:name w:val="xl73"/>
    <w:basedOn w:val="Normal"/>
    <w:rsid w:val="0041382F"/>
    <w:pPr>
      <w:pBdr>
        <w:top w:val="single" w:sz="4" w:space="0" w:color="000000"/>
        <w:left w:val="single" w:sz="4" w:space="0" w:color="000000"/>
        <w:right w:val="single" w:sz="4" w:space="0" w:color="000000"/>
      </w:pBdr>
      <w:spacing w:before="100" w:beforeAutospacing="1" w:after="100" w:afterAutospacing="1"/>
      <w:jc w:val="center"/>
      <w:textAlignment w:val="center"/>
    </w:pPr>
    <w:rPr>
      <w:rFonts w:eastAsia="Times New Roman" w:cs="Times New Roman"/>
      <w:kern w:val="0"/>
      <w:sz w:val="24"/>
      <w:szCs w:val="24"/>
      <w14:ligatures w14:val="none"/>
    </w:rPr>
  </w:style>
  <w:style w:type="paragraph" w:customStyle="1" w:styleId="xl74">
    <w:name w:val="xl74"/>
    <w:basedOn w:val="Normal"/>
    <w:rsid w:val="0041382F"/>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eastAsia="Times New Roman" w:cs="Times New Roman"/>
      <w:kern w:val="0"/>
      <w:sz w:val="24"/>
      <w:szCs w:val="24"/>
      <w14:ligatures w14:val="none"/>
    </w:rPr>
  </w:style>
  <w:style w:type="paragraph" w:customStyle="1" w:styleId="xl75">
    <w:name w:val="xl75"/>
    <w:basedOn w:val="Normal"/>
    <w:rsid w:val="0041382F"/>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eastAsia="Times New Roman" w:cs="Times New Roman"/>
      <w:kern w:val="0"/>
      <w:sz w:val="24"/>
      <w:szCs w:val="24"/>
      <w14:ligatures w14:val="none"/>
    </w:rPr>
  </w:style>
  <w:style w:type="paragraph" w:customStyle="1" w:styleId="xl76">
    <w:name w:val="xl76"/>
    <w:basedOn w:val="Normal"/>
    <w:rsid w:val="0041382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s="Times New Roman"/>
      <w:kern w:val="0"/>
      <w:sz w:val="24"/>
      <w:szCs w:val="24"/>
      <w14:ligatures w14:val="none"/>
    </w:rPr>
  </w:style>
  <w:style w:type="paragraph" w:customStyle="1" w:styleId="xl77">
    <w:name w:val="xl77"/>
    <w:basedOn w:val="Normal"/>
    <w:rsid w:val="0041382F"/>
    <w:pPr>
      <w:pBdr>
        <w:top w:val="single" w:sz="4" w:space="0" w:color="000000"/>
        <w:left w:val="single" w:sz="4" w:space="0" w:color="000000"/>
        <w:right w:val="single" w:sz="4" w:space="0" w:color="000000"/>
      </w:pBdr>
      <w:spacing w:before="100" w:beforeAutospacing="1" w:after="100" w:afterAutospacing="1"/>
      <w:jc w:val="left"/>
      <w:textAlignment w:val="center"/>
    </w:pPr>
    <w:rPr>
      <w:rFonts w:eastAsia="Times New Roman" w:cs="Times New Roman"/>
      <w:kern w:val="0"/>
      <w:sz w:val="24"/>
      <w:szCs w:val="24"/>
      <w14:ligatures w14:val="none"/>
    </w:rPr>
  </w:style>
  <w:style w:type="paragraph" w:customStyle="1" w:styleId="xl78">
    <w:name w:val="xl78"/>
    <w:basedOn w:val="Normal"/>
    <w:rsid w:val="0041382F"/>
    <w:pPr>
      <w:spacing w:before="100" w:beforeAutospacing="1" w:after="100" w:afterAutospacing="1"/>
      <w:jc w:val="left"/>
      <w:textAlignment w:val="center"/>
    </w:pPr>
    <w:rPr>
      <w:rFonts w:ascii="Aptos Narrow" w:eastAsia="Times New Roman" w:hAnsi="Aptos Narrow" w:cs="Times New Roman"/>
      <w:kern w:val="0"/>
      <w:sz w:val="24"/>
      <w:szCs w:val="24"/>
      <w14:ligatures w14:val="none"/>
    </w:rPr>
  </w:style>
  <w:style w:type="paragraph" w:customStyle="1" w:styleId="xl79">
    <w:name w:val="xl79"/>
    <w:basedOn w:val="Normal"/>
    <w:rsid w:val="0041382F"/>
    <w:pPr>
      <w:pBdr>
        <w:top w:val="single" w:sz="4" w:space="0" w:color="000000"/>
        <w:bottom w:val="single" w:sz="4" w:space="0" w:color="000000"/>
      </w:pBdr>
      <w:spacing w:before="100" w:beforeAutospacing="1" w:after="100" w:afterAutospacing="1"/>
      <w:jc w:val="left"/>
      <w:textAlignment w:val="center"/>
    </w:pPr>
    <w:rPr>
      <w:rFonts w:ascii="Aptos Narrow" w:eastAsia="Times New Roman" w:hAnsi="Aptos Narrow" w:cs="Times New Roman"/>
      <w:kern w:val="0"/>
      <w:sz w:val="24"/>
      <w:szCs w:val="24"/>
      <w14:ligatures w14:val="none"/>
    </w:rPr>
  </w:style>
  <w:style w:type="paragraph" w:customStyle="1" w:styleId="xl80">
    <w:name w:val="xl80"/>
    <w:basedOn w:val="Normal"/>
    <w:rsid w:val="0041382F"/>
    <w:pPr>
      <w:pBdr>
        <w:top w:val="single" w:sz="4" w:space="0" w:color="000000"/>
        <w:bottom w:val="single" w:sz="4" w:space="0" w:color="000000"/>
        <w:right w:val="single" w:sz="4" w:space="0" w:color="000000"/>
      </w:pBdr>
      <w:spacing w:before="100" w:beforeAutospacing="1" w:after="100" w:afterAutospacing="1"/>
      <w:jc w:val="left"/>
      <w:textAlignment w:val="center"/>
    </w:pPr>
    <w:rPr>
      <w:rFonts w:ascii="Aptos Narrow" w:eastAsia="Times New Roman" w:hAnsi="Aptos Narrow" w:cs="Times New Roman"/>
      <w:kern w:val="0"/>
      <w:sz w:val="24"/>
      <w:szCs w:val="24"/>
      <w14:ligatures w14:val="none"/>
    </w:rPr>
  </w:style>
  <w:style w:type="paragraph" w:customStyle="1" w:styleId="xl81">
    <w:name w:val="xl81"/>
    <w:basedOn w:val="Normal"/>
    <w:rsid w:val="0041382F"/>
    <w:pPr>
      <w:pBdr>
        <w:left w:val="single" w:sz="4" w:space="0" w:color="000000"/>
        <w:bottom w:val="single" w:sz="4" w:space="0" w:color="000000"/>
        <w:right w:val="single" w:sz="4" w:space="0" w:color="000000"/>
      </w:pBdr>
      <w:spacing w:before="100" w:beforeAutospacing="1" w:after="100" w:afterAutospacing="1"/>
      <w:jc w:val="left"/>
      <w:textAlignment w:val="center"/>
    </w:pPr>
    <w:rPr>
      <w:rFonts w:ascii="Aptos Narrow" w:eastAsia="Times New Roman" w:hAnsi="Aptos Narrow" w:cs="Times New Roman"/>
      <w:kern w:val="0"/>
      <w:sz w:val="24"/>
      <w:szCs w:val="24"/>
      <w14:ligatures w14:val="none"/>
    </w:rPr>
  </w:style>
  <w:style w:type="paragraph" w:customStyle="1" w:styleId="xl82">
    <w:name w:val="xl82"/>
    <w:basedOn w:val="Normal"/>
    <w:rsid w:val="0041382F"/>
    <w:pPr>
      <w:pBdr>
        <w:left w:val="single" w:sz="4" w:space="0" w:color="000000"/>
        <w:right w:val="single" w:sz="4" w:space="0" w:color="000000"/>
      </w:pBdr>
      <w:spacing w:before="100" w:beforeAutospacing="1" w:after="100" w:afterAutospacing="1"/>
      <w:jc w:val="left"/>
      <w:textAlignment w:val="center"/>
    </w:pPr>
    <w:rPr>
      <w:rFonts w:ascii="Aptos Narrow" w:eastAsia="Times New Roman" w:hAnsi="Aptos Narrow" w:cs="Times New Roman"/>
      <w:kern w:val="0"/>
      <w:sz w:val="24"/>
      <w:szCs w:val="24"/>
      <w14:ligatures w14:val="none"/>
    </w:rPr>
  </w:style>
  <w:style w:type="paragraph" w:customStyle="1" w:styleId="xl83">
    <w:name w:val="xl83"/>
    <w:basedOn w:val="Normal"/>
    <w:rsid w:val="0041382F"/>
    <w:pPr>
      <w:pBdr>
        <w:left w:val="single" w:sz="4" w:space="0" w:color="000000"/>
        <w:bottom w:val="single" w:sz="4" w:space="0" w:color="000000"/>
        <w:right w:val="single" w:sz="4" w:space="0" w:color="000000"/>
      </w:pBdr>
      <w:spacing w:before="100" w:beforeAutospacing="1" w:after="100" w:afterAutospacing="1"/>
      <w:jc w:val="left"/>
      <w:textAlignment w:val="center"/>
    </w:pPr>
    <w:rPr>
      <w:rFonts w:ascii="Aptos Narrow" w:eastAsia="Times New Roman" w:hAnsi="Aptos Narrow" w:cs="Times New Roman"/>
      <w:b/>
      <w:bCs/>
      <w:kern w:val="0"/>
      <w:sz w:val="24"/>
      <w:szCs w:val="24"/>
      <w14:ligatures w14:val="none"/>
    </w:rPr>
  </w:style>
  <w:style w:type="paragraph" w:customStyle="1" w:styleId="xl84">
    <w:name w:val="xl84"/>
    <w:basedOn w:val="Normal"/>
    <w:rsid w:val="0041382F"/>
    <w:pPr>
      <w:pBdr>
        <w:top w:val="single" w:sz="4" w:space="0" w:color="000000"/>
        <w:left w:val="single" w:sz="4" w:space="0" w:color="000000"/>
        <w:right w:val="single" w:sz="4" w:space="0" w:color="000000"/>
      </w:pBdr>
      <w:spacing w:before="100" w:beforeAutospacing="1" w:after="100" w:afterAutospacing="1"/>
      <w:jc w:val="center"/>
      <w:textAlignment w:val="top"/>
    </w:pPr>
    <w:rPr>
      <w:rFonts w:eastAsia="Times New Roman" w:cs="Times New Roman"/>
      <w:kern w:val="0"/>
      <w:sz w:val="24"/>
      <w:szCs w:val="24"/>
      <w14:ligatures w14:val="none"/>
    </w:rPr>
  </w:style>
  <w:style w:type="paragraph" w:customStyle="1" w:styleId="xl85">
    <w:name w:val="xl85"/>
    <w:basedOn w:val="Normal"/>
    <w:rsid w:val="0041382F"/>
    <w:pPr>
      <w:pBdr>
        <w:left w:val="single" w:sz="4" w:space="0" w:color="000000"/>
        <w:right w:val="single" w:sz="4" w:space="0" w:color="000000"/>
      </w:pBdr>
      <w:spacing w:before="100" w:beforeAutospacing="1" w:after="100" w:afterAutospacing="1"/>
      <w:jc w:val="left"/>
      <w:textAlignment w:val="top"/>
    </w:pPr>
    <w:rPr>
      <w:rFonts w:ascii="Aptos Narrow" w:eastAsia="Times New Roman" w:hAnsi="Aptos Narrow" w:cs="Times New Roman"/>
      <w:kern w:val="0"/>
      <w:sz w:val="24"/>
      <w:szCs w:val="24"/>
      <w14:ligatures w14:val="none"/>
    </w:rPr>
  </w:style>
  <w:style w:type="paragraph" w:customStyle="1" w:styleId="xl86">
    <w:name w:val="xl86"/>
    <w:basedOn w:val="Normal"/>
    <w:rsid w:val="0041382F"/>
    <w:pPr>
      <w:pBdr>
        <w:left w:val="single" w:sz="4" w:space="0" w:color="000000"/>
        <w:bottom w:val="single" w:sz="4" w:space="0" w:color="000000"/>
        <w:right w:val="single" w:sz="4" w:space="0" w:color="000000"/>
      </w:pBdr>
      <w:spacing w:before="100" w:beforeAutospacing="1" w:after="100" w:afterAutospacing="1"/>
      <w:jc w:val="left"/>
      <w:textAlignment w:val="top"/>
    </w:pPr>
    <w:rPr>
      <w:rFonts w:ascii="Aptos Narrow" w:eastAsia="Times New Roman" w:hAnsi="Aptos Narrow" w:cs="Times New Roman"/>
      <w:kern w:val="0"/>
      <w:sz w:val="24"/>
      <w:szCs w:val="24"/>
      <w14:ligatures w14:val="none"/>
    </w:rPr>
  </w:style>
  <w:style w:type="paragraph" w:customStyle="1" w:styleId="xl87">
    <w:name w:val="xl87"/>
    <w:basedOn w:val="Normal"/>
    <w:rsid w:val="0041382F"/>
    <w:pPr>
      <w:pBdr>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s="Times New Roman"/>
      <w:kern w:val="0"/>
      <w:sz w:val="24"/>
      <w:szCs w:val="24"/>
      <w14:ligatures w14:val="none"/>
    </w:rPr>
  </w:style>
  <w:style w:type="paragraph" w:customStyle="1" w:styleId="xl88">
    <w:name w:val="xl88"/>
    <w:basedOn w:val="Normal"/>
    <w:rsid w:val="0041382F"/>
    <w:pPr>
      <w:pBdr>
        <w:left w:val="single" w:sz="4" w:space="0" w:color="000000"/>
        <w:bottom w:val="single" w:sz="4" w:space="0" w:color="000000"/>
        <w:right w:val="single" w:sz="4" w:space="0" w:color="000000"/>
      </w:pBdr>
      <w:spacing w:before="100" w:beforeAutospacing="1" w:after="100" w:afterAutospacing="1"/>
      <w:jc w:val="center"/>
      <w:textAlignment w:val="top"/>
    </w:pPr>
    <w:rPr>
      <w:rFonts w:eastAsia="Times New Roman" w:cs="Times New Roman"/>
      <w:kern w:val="0"/>
      <w:sz w:val="24"/>
      <w:szCs w:val="24"/>
      <w14:ligatures w14:val="none"/>
    </w:rPr>
  </w:style>
  <w:style w:type="paragraph" w:styleId="ListParagraph">
    <w:name w:val="List Paragraph"/>
    <w:basedOn w:val="Normal"/>
    <w:uiPriority w:val="34"/>
    <w:qFormat/>
    <w:rsid w:val="00D73424"/>
    <w:pPr>
      <w:ind w:left="720"/>
      <w:contextualSpacing/>
    </w:pPr>
  </w:style>
  <w:style w:type="paragraph" w:customStyle="1" w:styleId="font11">
    <w:name w:val="font11"/>
    <w:basedOn w:val="Normal"/>
    <w:rsid w:val="00E307E5"/>
    <w:pPr>
      <w:spacing w:before="100" w:beforeAutospacing="1" w:after="100" w:afterAutospacing="1"/>
      <w:jc w:val="left"/>
    </w:pPr>
    <w:rPr>
      <w:rFonts w:eastAsia="Times New Roman" w:cs="Times New Roman"/>
      <w:color w:val="000000"/>
      <w:kern w:val="0"/>
      <w:sz w:val="22"/>
      <w14:ligatures w14:val="none"/>
    </w:rPr>
  </w:style>
  <w:style w:type="paragraph" w:customStyle="1" w:styleId="font12">
    <w:name w:val="font12"/>
    <w:basedOn w:val="Normal"/>
    <w:rsid w:val="00E307E5"/>
    <w:pPr>
      <w:spacing w:before="100" w:beforeAutospacing="1" w:after="100" w:afterAutospacing="1"/>
      <w:jc w:val="left"/>
    </w:pPr>
    <w:rPr>
      <w:rFonts w:eastAsia="Times New Roman" w:cs="Times New Roman"/>
      <w:i/>
      <w:iCs/>
      <w:color w:val="000000"/>
      <w:kern w:val="0"/>
      <w:sz w:val="22"/>
      <w14:ligatures w14:val="none"/>
    </w:rPr>
  </w:style>
  <w:style w:type="paragraph" w:customStyle="1" w:styleId="font13">
    <w:name w:val="font13"/>
    <w:basedOn w:val="Normal"/>
    <w:rsid w:val="00E307E5"/>
    <w:pPr>
      <w:spacing w:before="100" w:beforeAutospacing="1" w:after="100" w:afterAutospacing="1"/>
      <w:jc w:val="left"/>
    </w:pPr>
    <w:rPr>
      <w:rFonts w:eastAsia="Times New Roman" w:cs="Times New Roman"/>
      <w:b/>
      <w:bCs/>
      <w:i/>
      <w:iCs/>
      <w:color w:val="000000"/>
      <w:kern w:val="0"/>
      <w:sz w:val="22"/>
      <w14:ligatures w14:val="none"/>
    </w:rPr>
  </w:style>
  <w:style w:type="paragraph" w:styleId="Header">
    <w:name w:val="header"/>
    <w:basedOn w:val="Normal"/>
    <w:link w:val="HeaderChar"/>
    <w:uiPriority w:val="99"/>
    <w:unhideWhenUsed/>
    <w:rsid w:val="00A40F0F"/>
    <w:pPr>
      <w:tabs>
        <w:tab w:val="center" w:pos="4680"/>
        <w:tab w:val="right" w:pos="9360"/>
      </w:tabs>
      <w:spacing w:before="0" w:after="0"/>
    </w:pPr>
  </w:style>
  <w:style w:type="character" w:customStyle="1" w:styleId="HeaderChar">
    <w:name w:val="Header Char"/>
    <w:basedOn w:val="DefaultParagraphFont"/>
    <w:link w:val="Header"/>
    <w:uiPriority w:val="99"/>
    <w:rsid w:val="00A40F0F"/>
  </w:style>
  <w:style w:type="paragraph" w:styleId="Footer">
    <w:name w:val="footer"/>
    <w:basedOn w:val="Normal"/>
    <w:link w:val="FooterChar"/>
    <w:uiPriority w:val="99"/>
    <w:unhideWhenUsed/>
    <w:rsid w:val="00A40F0F"/>
    <w:pPr>
      <w:tabs>
        <w:tab w:val="center" w:pos="4680"/>
        <w:tab w:val="right" w:pos="9360"/>
      </w:tabs>
      <w:spacing w:before="0" w:after="0"/>
    </w:pPr>
  </w:style>
  <w:style w:type="character" w:customStyle="1" w:styleId="FooterChar">
    <w:name w:val="Footer Char"/>
    <w:basedOn w:val="DefaultParagraphFont"/>
    <w:link w:val="Footer"/>
    <w:uiPriority w:val="99"/>
    <w:rsid w:val="00A40F0F"/>
  </w:style>
  <w:style w:type="paragraph" w:customStyle="1" w:styleId="Default">
    <w:name w:val="Default"/>
    <w:rsid w:val="00F243F6"/>
    <w:pPr>
      <w:autoSpaceDE w:val="0"/>
      <w:autoSpaceDN w:val="0"/>
      <w:adjustRightInd w:val="0"/>
      <w:spacing w:before="0" w:after="0"/>
      <w:jc w:val="left"/>
    </w:pPr>
    <w:rPr>
      <w:rFonts w:cs="Times New Roman"/>
      <w:color w:val="000000"/>
      <w:kern w:val="0"/>
      <w:sz w:val="24"/>
      <w:szCs w:val="24"/>
    </w:rPr>
  </w:style>
  <w:style w:type="character" w:customStyle="1" w:styleId="normaltextrun">
    <w:name w:val="normaltextrun"/>
    <w:basedOn w:val="DefaultParagraphFont"/>
    <w:rsid w:val="004C6CD9"/>
  </w:style>
  <w:style w:type="character" w:customStyle="1" w:styleId="eop">
    <w:name w:val="eop"/>
    <w:basedOn w:val="DefaultParagraphFont"/>
    <w:rsid w:val="004C6C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51894">
      <w:bodyDiv w:val="1"/>
      <w:marLeft w:val="0"/>
      <w:marRight w:val="0"/>
      <w:marTop w:val="0"/>
      <w:marBottom w:val="0"/>
      <w:divBdr>
        <w:top w:val="none" w:sz="0" w:space="0" w:color="auto"/>
        <w:left w:val="none" w:sz="0" w:space="0" w:color="auto"/>
        <w:bottom w:val="none" w:sz="0" w:space="0" w:color="auto"/>
        <w:right w:val="none" w:sz="0" w:space="0" w:color="auto"/>
      </w:divBdr>
    </w:div>
    <w:div w:id="347633735">
      <w:bodyDiv w:val="1"/>
      <w:marLeft w:val="0"/>
      <w:marRight w:val="0"/>
      <w:marTop w:val="0"/>
      <w:marBottom w:val="0"/>
      <w:divBdr>
        <w:top w:val="none" w:sz="0" w:space="0" w:color="auto"/>
        <w:left w:val="none" w:sz="0" w:space="0" w:color="auto"/>
        <w:bottom w:val="none" w:sz="0" w:space="0" w:color="auto"/>
        <w:right w:val="none" w:sz="0" w:space="0" w:color="auto"/>
      </w:divBdr>
    </w:div>
    <w:div w:id="833570182">
      <w:bodyDiv w:val="1"/>
      <w:marLeft w:val="0"/>
      <w:marRight w:val="0"/>
      <w:marTop w:val="0"/>
      <w:marBottom w:val="0"/>
      <w:divBdr>
        <w:top w:val="none" w:sz="0" w:space="0" w:color="auto"/>
        <w:left w:val="none" w:sz="0" w:space="0" w:color="auto"/>
        <w:bottom w:val="none" w:sz="0" w:space="0" w:color="auto"/>
        <w:right w:val="none" w:sz="0" w:space="0" w:color="auto"/>
      </w:divBdr>
    </w:div>
    <w:div w:id="1254244789">
      <w:bodyDiv w:val="1"/>
      <w:marLeft w:val="0"/>
      <w:marRight w:val="0"/>
      <w:marTop w:val="0"/>
      <w:marBottom w:val="0"/>
      <w:divBdr>
        <w:top w:val="none" w:sz="0" w:space="0" w:color="auto"/>
        <w:left w:val="none" w:sz="0" w:space="0" w:color="auto"/>
        <w:bottom w:val="none" w:sz="0" w:space="0" w:color="auto"/>
        <w:right w:val="none" w:sz="0" w:space="0" w:color="auto"/>
      </w:divBdr>
    </w:div>
    <w:div w:id="1329555579">
      <w:bodyDiv w:val="1"/>
      <w:marLeft w:val="0"/>
      <w:marRight w:val="0"/>
      <w:marTop w:val="0"/>
      <w:marBottom w:val="0"/>
      <w:divBdr>
        <w:top w:val="none" w:sz="0" w:space="0" w:color="auto"/>
        <w:left w:val="none" w:sz="0" w:space="0" w:color="auto"/>
        <w:bottom w:val="none" w:sz="0" w:space="0" w:color="auto"/>
        <w:right w:val="none" w:sz="0" w:space="0" w:color="auto"/>
      </w:divBdr>
      <w:divsChild>
        <w:div w:id="2038844168">
          <w:marLeft w:val="0"/>
          <w:marRight w:val="0"/>
          <w:marTop w:val="0"/>
          <w:marBottom w:val="0"/>
          <w:divBdr>
            <w:top w:val="none" w:sz="0" w:space="0" w:color="auto"/>
            <w:left w:val="none" w:sz="0" w:space="0" w:color="auto"/>
            <w:bottom w:val="none" w:sz="0" w:space="0" w:color="auto"/>
            <w:right w:val="none" w:sz="0" w:space="0" w:color="auto"/>
          </w:divBdr>
          <w:divsChild>
            <w:div w:id="931354573">
              <w:marLeft w:val="0"/>
              <w:marRight w:val="0"/>
              <w:marTop w:val="0"/>
              <w:marBottom w:val="0"/>
              <w:divBdr>
                <w:top w:val="none" w:sz="0" w:space="0" w:color="auto"/>
                <w:left w:val="none" w:sz="0" w:space="0" w:color="auto"/>
                <w:bottom w:val="none" w:sz="0" w:space="0" w:color="auto"/>
                <w:right w:val="none" w:sz="0" w:space="0" w:color="auto"/>
              </w:divBdr>
              <w:divsChild>
                <w:div w:id="221138951">
                  <w:marLeft w:val="0"/>
                  <w:marRight w:val="0"/>
                  <w:marTop w:val="0"/>
                  <w:marBottom w:val="0"/>
                  <w:divBdr>
                    <w:top w:val="none" w:sz="0" w:space="0" w:color="auto"/>
                    <w:left w:val="none" w:sz="0" w:space="0" w:color="auto"/>
                    <w:bottom w:val="none" w:sz="0" w:space="0" w:color="auto"/>
                    <w:right w:val="none" w:sz="0" w:space="0" w:color="auto"/>
                  </w:divBdr>
                  <w:divsChild>
                    <w:div w:id="158429402">
                      <w:marLeft w:val="0"/>
                      <w:marRight w:val="-90"/>
                      <w:marTop w:val="0"/>
                      <w:marBottom w:val="0"/>
                      <w:divBdr>
                        <w:top w:val="none" w:sz="0" w:space="0" w:color="auto"/>
                        <w:left w:val="none" w:sz="0" w:space="0" w:color="auto"/>
                        <w:bottom w:val="none" w:sz="0" w:space="0" w:color="auto"/>
                        <w:right w:val="none" w:sz="0" w:space="0" w:color="auto"/>
                      </w:divBdr>
                      <w:divsChild>
                        <w:div w:id="1739665502">
                          <w:marLeft w:val="0"/>
                          <w:marRight w:val="0"/>
                          <w:marTop w:val="0"/>
                          <w:marBottom w:val="0"/>
                          <w:divBdr>
                            <w:top w:val="none" w:sz="0" w:space="0" w:color="auto"/>
                            <w:left w:val="none" w:sz="0" w:space="0" w:color="auto"/>
                            <w:bottom w:val="none" w:sz="0" w:space="0" w:color="auto"/>
                            <w:right w:val="none" w:sz="0" w:space="0" w:color="auto"/>
                          </w:divBdr>
                          <w:divsChild>
                            <w:div w:id="622617516">
                              <w:marLeft w:val="0"/>
                              <w:marRight w:val="0"/>
                              <w:marTop w:val="0"/>
                              <w:marBottom w:val="0"/>
                              <w:divBdr>
                                <w:top w:val="none" w:sz="0" w:space="0" w:color="auto"/>
                                <w:left w:val="none" w:sz="0" w:space="0" w:color="auto"/>
                                <w:bottom w:val="none" w:sz="0" w:space="0" w:color="auto"/>
                                <w:right w:val="none" w:sz="0" w:space="0" w:color="auto"/>
                              </w:divBdr>
                              <w:divsChild>
                                <w:div w:id="2071732304">
                                  <w:marLeft w:val="0"/>
                                  <w:marRight w:val="0"/>
                                  <w:marTop w:val="0"/>
                                  <w:marBottom w:val="0"/>
                                  <w:divBdr>
                                    <w:top w:val="none" w:sz="0" w:space="0" w:color="auto"/>
                                    <w:left w:val="none" w:sz="0" w:space="0" w:color="auto"/>
                                    <w:bottom w:val="none" w:sz="0" w:space="0" w:color="auto"/>
                                    <w:right w:val="none" w:sz="0" w:space="0" w:color="auto"/>
                                  </w:divBdr>
                                  <w:divsChild>
                                    <w:div w:id="600647049">
                                      <w:marLeft w:val="750"/>
                                      <w:marRight w:val="0"/>
                                      <w:marTop w:val="0"/>
                                      <w:marBottom w:val="0"/>
                                      <w:divBdr>
                                        <w:top w:val="none" w:sz="0" w:space="0" w:color="auto"/>
                                        <w:left w:val="none" w:sz="0" w:space="0" w:color="auto"/>
                                        <w:bottom w:val="none" w:sz="0" w:space="0" w:color="auto"/>
                                        <w:right w:val="none" w:sz="0" w:space="0" w:color="auto"/>
                                      </w:divBdr>
                                      <w:divsChild>
                                        <w:div w:id="565915181">
                                          <w:marLeft w:val="0"/>
                                          <w:marRight w:val="0"/>
                                          <w:marTop w:val="0"/>
                                          <w:marBottom w:val="0"/>
                                          <w:divBdr>
                                            <w:top w:val="none" w:sz="0" w:space="0" w:color="auto"/>
                                            <w:left w:val="none" w:sz="0" w:space="0" w:color="auto"/>
                                            <w:bottom w:val="none" w:sz="0" w:space="0" w:color="auto"/>
                                            <w:right w:val="none" w:sz="0" w:space="0" w:color="auto"/>
                                          </w:divBdr>
                                          <w:divsChild>
                                            <w:div w:id="255098232">
                                              <w:marLeft w:val="0"/>
                                              <w:marRight w:val="0"/>
                                              <w:marTop w:val="0"/>
                                              <w:marBottom w:val="0"/>
                                              <w:divBdr>
                                                <w:top w:val="none" w:sz="0" w:space="0" w:color="auto"/>
                                                <w:left w:val="none" w:sz="0" w:space="0" w:color="auto"/>
                                                <w:bottom w:val="none" w:sz="0" w:space="0" w:color="auto"/>
                                                <w:right w:val="none" w:sz="0" w:space="0" w:color="auto"/>
                                              </w:divBdr>
                                              <w:divsChild>
                                                <w:div w:id="1558390867">
                                                  <w:marLeft w:val="0"/>
                                                  <w:marRight w:val="0"/>
                                                  <w:marTop w:val="0"/>
                                                  <w:marBottom w:val="0"/>
                                                  <w:divBdr>
                                                    <w:top w:val="none" w:sz="0" w:space="0" w:color="auto"/>
                                                    <w:left w:val="none" w:sz="0" w:space="0" w:color="auto"/>
                                                    <w:bottom w:val="none" w:sz="0" w:space="0" w:color="auto"/>
                                                    <w:right w:val="none" w:sz="0" w:space="0" w:color="auto"/>
                                                  </w:divBdr>
                                                  <w:divsChild>
                                                    <w:div w:id="1033582375">
                                                      <w:marLeft w:val="0"/>
                                                      <w:marRight w:val="0"/>
                                                      <w:marTop w:val="0"/>
                                                      <w:marBottom w:val="0"/>
                                                      <w:divBdr>
                                                        <w:top w:val="none" w:sz="0" w:space="0" w:color="auto"/>
                                                        <w:left w:val="none" w:sz="0" w:space="0" w:color="auto"/>
                                                        <w:bottom w:val="none" w:sz="0" w:space="0" w:color="auto"/>
                                                        <w:right w:val="none" w:sz="0" w:space="0" w:color="auto"/>
                                                      </w:divBdr>
                                                      <w:divsChild>
                                                        <w:div w:id="1526670353">
                                                          <w:marLeft w:val="0"/>
                                                          <w:marRight w:val="0"/>
                                                          <w:marTop w:val="0"/>
                                                          <w:marBottom w:val="0"/>
                                                          <w:divBdr>
                                                            <w:top w:val="none" w:sz="0" w:space="0" w:color="auto"/>
                                                            <w:left w:val="none" w:sz="0" w:space="0" w:color="auto"/>
                                                            <w:bottom w:val="none" w:sz="0" w:space="0" w:color="auto"/>
                                                            <w:right w:val="none" w:sz="0" w:space="0" w:color="auto"/>
                                                          </w:divBdr>
                                                        </w:div>
                                                      </w:divsChild>
                                                    </w:div>
                                                    <w:div w:id="2043165789">
                                                      <w:marLeft w:val="0"/>
                                                      <w:marRight w:val="0"/>
                                                      <w:marTop w:val="150"/>
                                                      <w:marBottom w:val="0"/>
                                                      <w:divBdr>
                                                        <w:top w:val="none" w:sz="0" w:space="0" w:color="auto"/>
                                                        <w:left w:val="none" w:sz="0" w:space="0" w:color="auto"/>
                                                        <w:bottom w:val="none" w:sz="0" w:space="0" w:color="auto"/>
                                                        <w:right w:val="none" w:sz="0" w:space="0" w:color="auto"/>
                                                      </w:divBdr>
                                                    </w:div>
                                                    <w:div w:id="610938645">
                                                      <w:marLeft w:val="0"/>
                                                      <w:marRight w:val="0"/>
                                                      <w:marTop w:val="0"/>
                                                      <w:marBottom w:val="0"/>
                                                      <w:divBdr>
                                                        <w:top w:val="none" w:sz="0" w:space="0" w:color="auto"/>
                                                        <w:left w:val="none" w:sz="0" w:space="0" w:color="auto"/>
                                                        <w:bottom w:val="none" w:sz="0" w:space="0" w:color="auto"/>
                                                        <w:right w:val="none" w:sz="0" w:space="0" w:color="auto"/>
                                                      </w:divBdr>
                                                      <w:divsChild>
                                                        <w:div w:id="2131893074">
                                                          <w:marLeft w:val="0"/>
                                                          <w:marRight w:val="0"/>
                                                          <w:marTop w:val="0"/>
                                                          <w:marBottom w:val="0"/>
                                                          <w:divBdr>
                                                            <w:top w:val="none" w:sz="0" w:space="0" w:color="auto"/>
                                                            <w:left w:val="none" w:sz="0" w:space="0" w:color="auto"/>
                                                            <w:bottom w:val="none" w:sz="0" w:space="0" w:color="auto"/>
                                                            <w:right w:val="none" w:sz="0" w:space="0" w:color="auto"/>
                                                          </w:divBdr>
                                                          <w:divsChild>
                                                            <w:div w:id="1739743035">
                                                              <w:marLeft w:val="0"/>
                                                              <w:marRight w:val="0"/>
                                                              <w:marTop w:val="0"/>
                                                              <w:marBottom w:val="0"/>
                                                              <w:divBdr>
                                                                <w:top w:val="none" w:sz="0" w:space="0" w:color="auto"/>
                                                                <w:left w:val="none" w:sz="0" w:space="0" w:color="auto"/>
                                                                <w:bottom w:val="none" w:sz="0" w:space="0" w:color="auto"/>
                                                                <w:right w:val="none" w:sz="0" w:space="0" w:color="auto"/>
                                                              </w:divBdr>
                                                              <w:divsChild>
                                                                <w:div w:id="1632249167">
                                                                  <w:marLeft w:val="0"/>
                                                                  <w:marRight w:val="0"/>
                                                                  <w:marTop w:val="0"/>
                                                                  <w:marBottom w:val="0"/>
                                                                  <w:divBdr>
                                                                    <w:top w:val="none" w:sz="0" w:space="0" w:color="auto"/>
                                                                    <w:left w:val="none" w:sz="0" w:space="0" w:color="auto"/>
                                                                    <w:bottom w:val="none" w:sz="0" w:space="0" w:color="auto"/>
                                                                    <w:right w:val="none" w:sz="0" w:space="0" w:color="auto"/>
                                                                  </w:divBdr>
                                                                  <w:divsChild>
                                                                    <w:div w:id="1757749743">
                                                                      <w:marLeft w:val="105"/>
                                                                      <w:marRight w:val="105"/>
                                                                      <w:marTop w:val="90"/>
                                                                      <w:marBottom w:val="150"/>
                                                                      <w:divBdr>
                                                                        <w:top w:val="none" w:sz="0" w:space="0" w:color="auto"/>
                                                                        <w:left w:val="none" w:sz="0" w:space="0" w:color="auto"/>
                                                                        <w:bottom w:val="none" w:sz="0" w:space="0" w:color="auto"/>
                                                                        <w:right w:val="none" w:sz="0" w:space="0" w:color="auto"/>
                                                                      </w:divBdr>
                                                                    </w:div>
                                                                    <w:div w:id="1591961688">
                                                                      <w:marLeft w:val="105"/>
                                                                      <w:marRight w:val="105"/>
                                                                      <w:marTop w:val="90"/>
                                                                      <w:marBottom w:val="150"/>
                                                                      <w:divBdr>
                                                                        <w:top w:val="none" w:sz="0" w:space="0" w:color="auto"/>
                                                                        <w:left w:val="none" w:sz="0" w:space="0" w:color="auto"/>
                                                                        <w:bottom w:val="none" w:sz="0" w:space="0" w:color="auto"/>
                                                                        <w:right w:val="none" w:sz="0" w:space="0" w:color="auto"/>
                                                                      </w:divBdr>
                                                                    </w:div>
                                                                    <w:div w:id="264969384">
                                                                      <w:marLeft w:val="105"/>
                                                                      <w:marRight w:val="105"/>
                                                                      <w:marTop w:val="90"/>
                                                                      <w:marBottom w:val="150"/>
                                                                      <w:divBdr>
                                                                        <w:top w:val="none" w:sz="0" w:space="0" w:color="auto"/>
                                                                        <w:left w:val="none" w:sz="0" w:space="0" w:color="auto"/>
                                                                        <w:bottom w:val="none" w:sz="0" w:space="0" w:color="auto"/>
                                                                        <w:right w:val="none" w:sz="0" w:space="0" w:color="auto"/>
                                                                      </w:divBdr>
                                                                    </w:div>
                                                                    <w:div w:id="1925995213">
                                                                      <w:marLeft w:val="105"/>
                                                                      <w:marRight w:val="105"/>
                                                                      <w:marTop w:val="90"/>
                                                                      <w:marBottom w:val="150"/>
                                                                      <w:divBdr>
                                                                        <w:top w:val="none" w:sz="0" w:space="0" w:color="auto"/>
                                                                        <w:left w:val="none" w:sz="0" w:space="0" w:color="auto"/>
                                                                        <w:bottom w:val="none" w:sz="0" w:space="0" w:color="auto"/>
                                                                        <w:right w:val="none" w:sz="0" w:space="0" w:color="auto"/>
                                                                      </w:divBdr>
                                                                    </w:div>
                                                                    <w:div w:id="364326720">
                                                                      <w:marLeft w:val="105"/>
                                                                      <w:marRight w:val="105"/>
                                                                      <w:marTop w:val="90"/>
                                                                      <w:marBottom w:val="150"/>
                                                                      <w:divBdr>
                                                                        <w:top w:val="none" w:sz="0" w:space="0" w:color="auto"/>
                                                                        <w:left w:val="none" w:sz="0" w:space="0" w:color="auto"/>
                                                                        <w:bottom w:val="none" w:sz="0" w:space="0" w:color="auto"/>
                                                                        <w:right w:val="none" w:sz="0" w:space="0" w:color="auto"/>
                                                                      </w:divBdr>
                                                                    </w:div>
                                                                    <w:div w:id="87951268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23972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915497">
          <w:marLeft w:val="0"/>
          <w:marRight w:val="0"/>
          <w:marTop w:val="0"/>
          <w:marBottom w:val="0"/>
          <w:divBdr>
            <w:top w:val="none" w:sz="0" w:space="0" w:color="auto"/>
            <w:left w:val="none" w:sz="0" w:space="0" w:color="auto"/>
            <w:bottom w:val="none" w:sz="0" w:space="0" w:color="auto"/>
            <w:right w:val="none" w:sz="0" w:space="0" w:color="auto"/>
          </w:divBdr>
          <w:divsChild>
            <w:div w:id="1040010769">
              <w:marLeft w:val="0"/>
              <w:marRight w:val="0"/>
              <w:marTop w:val="0"/>
              <w:marBottom w:val="0"/>
              <w:divBdr>
                <w:top w:val="none" w:sz="0" w:space="0" w:color="auto"/>
                <w:left w:val="none" w:sz="0" w:space="0" w:color="auto"/>
                <w:bottom w:val="none" w:sz="0" w:space="0" w:color="auto"/>
                <w:right w:val="none" w:sz="0" w:space="0" w:color="auto"/>
              </w:divBdr>
              <w:divsChild>
                <w:div w:id="100154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81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3039</Words>
  <Characters>17323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Nguyet Do</dc:creator>
  <cp:keywords/>
  <dc:description/>
  <cp:lastModifiedBy>Admin</cp:lastModifiedBy>
  <cp:revision>2</cp:revision>
  <dcterms:created xsi:type="dcterms:W3CDTF">2024-12-31T02:29:00Z</dcterms:created>
  <dcterms:modified xsi:type="dcterms:W3CDTF">2024-12-31T02:29:00Z</dcterms:modified>
</cp:coreProperties>
</file>